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D74" w:rsidRDefault="00677D74" w:rsidP="00677D74">
      <w:pPr>
        <w:jc w:val="both"/>
      </w:pPr>
      <w:r w:rsidRPr="00677D74">
        <w:rPr>
          <w:b/>
        </w:rPr>
        <w:t>Sample Processing Protocol:</w:t>
      </w:r>
      <w:r>
        <w:t xml:space="preserve"> UBF1 was </w:t>
      </w:r>
      <w:proofErr w:type="spellStart"/>
      <w:r>
        <w:t>immunoprecipitated</w:t>
      </w:r>
      <w:proofErr w:type="spellEnd"/>
      <w:r>
        <w:t xml:space="preserve"> from </w:t>
      </w:r>
      <w:proofErr w:type="gramStart"/>
      <w:r>
        <w:t>Nuclear</w:t>
      </w:r>
      <w:proofErr w:type="gramEnd"/>
      <w:r>
        <w:t xml:space="preserve"> extracts of H1299 cells or purified recombinant bacterially-expressed full length human UBF1 was incubated in the presence or absence of recombinant human PKC</w:t>
      </w:r>
      <w:r>
        <w:t xml:space="preserve"> in reaction buffer.  </w:t>
      </w:r>
      <w:proofErr w:type="spellStart"/>
      <w:r>
        <w:t>Immunoprecipitated</w:t>
      </w:r>
      <w:proofErr w:type="spellEnd"/>
      <w:r>
        <w:t xml:space="preserve"> UBF1 and in vitro kinase reactions were resolved by SDS-PAGE and the band corresponding to UBF1was excised and submitted to the Mayo Clinic Medical Genome Facility Proteomics Core for proteolytic cleavage and phosphorylation site analysis by mass spectrometry. The SDS-PAGE gel bands were prepared for mass spectrometry analysis using the following procedures. Silver stained gel bands were </w:t>
      </w:r>
      <w:proofErr w:type="spellStart"/>
      <w:r>
        <w:t>destained</w:t>
      </w:r>
      <w:proofErr w:type="spellEnd"/>
      <w:r>
        <w:t xml:space="preserve"> and reduced with 50 </w:t>
      </w:r>
      <w:proofErr w:type="spellStart"/>
      <w:r>
        <w:t>mM</w:t>
      </w:r>
      <w:proofErr w:type="spellEnd"/>
      <w:r>
        <w:t xml:space="preserve"> TCEP/50 </w:t>
      </w:r>
      <w:proofErr w:type="spellStart"/>
      <w:r>
        <w:t>mM</w:t>
      </w:r>
      <w:proofErr w:type="spellEnd"/>
      <w:r>
        <w:t xml:space="preserve"> </w:t>
      </w:r>
      <w:proofErr w:type="spellStart"/>
      <w:r>
        <w:t>Tris</w:t>
      </w:r>
      <w:proofErr w:type="spellEnd"/>
      <w:r>
        <w:t xml:space="preserve">, pH 8.2 at 55ºC for 20 min then alkylated with 25 </w:t>
      </w:r>
      <w:proofErr w:type="spellStart"/>
      <w:r>
        <w:t>mM</w:t>
      </w:r>
      <w:proofErr w:type="spellEnd"/>
      <w:r>
        <w:t xml:space="preserve"> </w:t>
      </w:r>
      <w:proofErr w:type="spellStart"/>
      <w:r>
        <w:t>iodoacetamide</w:t>
      </w:r>
      <w:proofErr w:type="spellEnd"/>
      <w:r>
        <w:t xml:space="preserve"> at room temperature for 30 min in the dark. Proteins were digested in-situ with 50 </w:t>
      </w:r>
      <w:proofErr w:type="spellStart"/>
      <w:r>
        <w:t>ul</w:t>
      </w:r>
      <w:proofErr w:type="spellEnd"/>
      <w:r>
        <w:t xml:space="preserve"> (0.0025 mg/</w:t>
      </w:r>
      <w:proofErr w:type="spellStart"/>
      <w:r>
        <w:t>μl</w:t>
      </w:r>
      <w:proofErr w:type="spellEnd"/>
      <w:r>
        <w:t>) trypsin (</w:t>
      </w:r>
      <w:proofErr w:type="spellStart"/>
      <w:r>
        <w:t>Promega</w:t>
      </w:r>
      <w:proofErr w:type="spellEnd"/>
      <w:r>
        <w:t xml:space="preserve"> Corporation, Madison WI) in 25 </w:t>
      </w:r>
      <w:proofErr w:type="spellStart"/>
      <w:r>
        <w:t>mM</w:t>
      </w:r>
      <w:proofErr w:type="spellEnd"/>
      <w:r>
        <w:t xml:space="preserve"> </w:t>
      </w:r>
      <w:proofErr w:type="spellStart"/>
      <w:r>
        <w:t>Tris</w:t>
      </w:r>
      <w:proofErr w:type="spellEnd"/>
      <w:r>
        <w:t xml:space="preserve"> pH8.2 / 0.0002% Zwittergent 3-16, at 37°C overnight, followed by peptide extraction with 25 </w:t>
      </w:r>
      <w:proofErr w:type="spellStart"/>
      <w:r>
        <w:t>ul</w:t>
      </w:r>
      <w:proofErr w:type="spellEnd"/>
      <w:r>
        <w:t xml:space="preserve"> of 2% </w:t>
      </w:r>
      <w:proofErr w:type="spellStart"/>
      <w:r>
        <w:t>trifluoroacetic</w:t>
      </w:r>
      <w:proofErr w:type="spellEnd"/>
      <w:r>
        <w:t xml:space="preserve"> acid, then 50 </w:t>
      </w:r>
      <w:proofErr w:type="spellStart"/>
      <w:r>
        <w:t>ul</w:t>
      </w:r>
      <w:proofErr w:type="spellEnd"/>
      <w:r>
        <w:t xml:space="preserve"> of acetonitrile. The pooled extracts are concentrated to less than 5 </w:t>
      </w:r>
      <w:proofErr w:type="spellStart"/>
      <w:r>
        <w:t>ul</w:t>
      </w:r>
      <w:proofErr w:type="spellEnd"/>
      <w:r>
        <w:t xml:space="preserve"> on a </w:t>
      </w:r>
      <w:proofErr w:type="spellStart"/>
      <w:r>
        <w:t>SpeedVac</w:t>
      </w:r>
      <w:proofErr w:type="spellEnd"/>
      <w:r>
        <w:t xml:space="preserve"> spinning concentrator (Savant </w:t>
      </w:r>
      <w:proofErr w:type="spellStart"/>
      <w:r>
        <w:t>Intruments</w:t>
      </w:r>
      <w:proofErr w:type="spellEnd"/>
      <w:r>
        <w:t xml:space="preserve">, Holbrook NY) and then brought up in 0.15% formic acid/0.05% </w:t>
      </w:r>
      <w:proofErr w:type="spellStart"/>
      <w:r>
        <w:t>trifluoroacetic</w:t>
      </w:r>
      <w:proofErr w:type="spellEnd"/>
      <w:r>
        <w:t xml:space="preserve"> acid for protein identification by </w:t>
      </w:r>
      <w:proofErr w:type="spellStart"/>
      <w:r>
        <w:t>nano</w:t>
      </w:r>
      <w:proofErr w:type="spellEnd"/>
      <w:r>
        <w:t>-flow liquid chromatography electrospray tandem mass spectrometry (</w:t>
      </w:r>
      <w:proofErr w:type="spellStart"/>
      <w:r>
        <w:t>nanoLC</w:t>
      </w:r>
      <w:proofErr w:type="spellEnd"/>
      <w:r>
        <w:t xml:space="preserve">-ESI-MS/MS) using a </w:t>
      </w:r>
      <w:proofErr w:type="spellStart"/>
      <w:r>
        <w:t>Thermo</w:t>
      </w:r>
      <w:proofErr w:type="spellEnd"/>
      <w:r>
        <w:t xml:space="preserve"> Scientific Q-</w:t>
      </w:r>
      <w:proofErr w:type="spellStart"/>
      <w:r>
        <w:t>Exactive</w:t>
      </w:r>
      <w:proofErr w:type="spellEnd"/>
      <w:r>
        <w:t xml:space="preserve"> Mass Spectrometer (</w:t>
      </w:r>
      <w:proofErr w:type="spellStart"/>
      <w:r>
        <w:t>Thermo</w:t>
      </w:r>
      <w:proofErr w:type="spellEnd"/>
      <w:r>
        <w:t xml:space="preserve"> Fisher Scientific, Bremen, Germany) coupled to a </w:t>
      </w:r>
      <w:proofErr w:type="spellStart"/>
      <w:r>
        <w:t>Thermo</w:t>
      </w:r>
      <w:proofErr w:type="spellEnd"/>
      <w:r>
        <w:t xml:space="preserve"> Ultimate 3000 </w:t>
      </w:r>
      <w:proofErr w:type="spellStart"/>
      <w:r>
        <w:t>RSLCnano</w:t>
      </w:r>
      <w:proofErr w:type="spellEnd"/>
      <w:r>
        <w:t xml:space="preserve"> HPLC system. The digest peptide mixture is loaded onto a 330nl OPTI-PAK EXP trap (Optimize Technologies, Oregon City, OR) packed with Halo 2.7um C18 material.   Chromatography is performed using 0.2 % formic acid in both the A solvent (98%water/2%acetonitrile) and B solvent (80% acetonitrile/10% isopropanol/10% water), and a 2%B to 40%B gradient over 43 minutes at 400 </w:t>
      </w:r>
      <w:proofErr w:type="spellStart"/>
      <w:r>
        <w:t>nl</w:t>
      </w:r>
      <w:proofErr w:type="spellEnd"/>
      <w:r>
        <w:t xml:space="preserve">/min through a 100um x 34cm </w:t>
      </w:r>
      <w:proofErr w:type="spellStart"/>
      <w:r>
        <w:t>PicoFrit</w:t>
      </w:r>
      <w:proofErr w:type="spellEnd"/>
      <w:r>
        <w:t xml:space="preserve"> column (New Objective, Woburn, MA) </w:t>
      </w:r>
      <w:proofErr w:type="spellStart"/>
      <w:r>
        <w:t>handpacked</w:t>
      </w:r>
      <w:proofErr w:type="spellEnd"/>
      <w:r>
        <w:t xml:space="preserve"> with Agilent </w:t>
      </w:r>
      <w:proofErr w:type="spellStart"/>
      <w:r>
        <w:t>Poroshell</w:t>
      </w:r>
      <w:proofErr w:type="spellEnd"/>
      <w:r>
        <w:t xml:space="preserve"> 120 EC C18 material.  The Q-</w:t>
      </w:r>
      <w:proofErr w:type="spellStart"/>
      <w:r>
        <w:t>Exactive</w:t>
      </w:r>
      <w:proofErr w:type="spellEnd"/>
      <w:r>
        <w:t xml:space="preserve"> Plus mass spectrometer set up was a FT full scan from 340-1500 m/z at resolution 70,000 (at 200m/z), followed by HCD MS/MS scans on the top 15 ions having a charge state of +2, +3, or +4, at resolution 17,500. The selected ions are placed on an exclusion list for 15 seconds.  The MS1 AGC target is set to 1e6 with 50ms max ion inject time and the MS2 target is set to 1e5 with a max ion inject time of 100ms. </w:t>
      </w:r>
    </w:p>
    <w:p w:rsidR="007F6170" w:rsidRDefault="00677D74" w:rsidP="00677D74">
      <w:pPr>
        <w:jc w:val="both"/>
      </w:pPr>
      <w:bookmarkStart w:id="0" w:name="_GoBack"/>
      <w:r w:rsidRPr="00677D74">
        <w:rPr>
          <w:b/>
        </w:rPr>
        <w:t>Data Processing Protocol:</w:t>
      </w:r>
      <w:r>
        <w:t xml:space="preserve"> </w:t>
      </w:r>
      <w:bookmarkEnd w:id="0"/>
      <w:r>
        <w:t xml:space="preserve">The MS/MS raw data are searched using PEAKS X (Bioinformatics Solutions </w:t>
      </w:r>
      <w:proofErr w:type="spellStart"/>
      <w:r>
        <w:t>Inc</w:t>
      </w:r>
      <w:proofErr w:type="spellEnd"/>
      <w:r>
        <w:t xml:space="preserve">, Waterloo, ON Canada) set up to search the </w:t>
      </w:r>
      <w:proofErr w:type="spellStart"/>
      <w:r>
        <w:t>Swissprot</w:t>
      </w:r>
      <w:proofErr w:type="spellEnd"/>
      <w:r>
        <w:t xml:space="preserve"> human protein database (January 2020, 20363 entries), with a concatenated decoy reverse database and assuming the digestion enzyme full trypsin. The fragment ion mass tolerance was set to 0.02 Da and the parent ion tolerance limited to 10.0 PPM. Oxidation of methionine, </w:t>
      </w:r>
      <w:proofErr w:type="spellStart"/>
      <w:r>
        <w:t>sulphation</w:t>
      </w:r>
      <w:proofErr w:type="spellEnd"/>
      <w:r>
        <w:t xml:space="preserve"> and phosphorylation of serine, threonine, and tyrosine were specified as variable modifications and </w:t>
      </w:r>
      <w:proofErr w:type="spellStart"/>
      <w:r>
        <w:t>carbamidomethyl</w:t>
      </w:r>
      <w:proofErr w:type="spellEnd"/>
      <w:r>
        <w:t xml:space="preserve"> cysteine as a fixed modification.  A-score values are used to assess </w:t>
      </w:r>
      <w:proofErr w:type="spellStart"/>
      <w:r>
        <w:t>phospho</w:t>
      </w:r>
      <w:proofErr w:type="spellEnd"/>
      <w:r>
        <w:t>-site assignments.  Protein identification required a minimum of 2 peptides matched and a -10lgP &gt;20. The peptide spectral matches (PSMs</w:t>
      </w:r>
      <w:proofErr w:type="gramStart"/>
      <w:r>
        <w:t>)  are</w:t>
      </w:r>
      <w:proofErr w:type="gramEnd"/>
      <w:r>
        <w:t xml:space="preserve"> filtered at a 0.5% false discovery rate (FDR).  </w:t>
      </w:r>
      <w:proofErr w:type="spellStart"/>
      <w:r>
        <w:t>Phosphopeptide</w:t>
      </w:r>
      <w:proofErr w:type="spellEnd"/>
      <w:r>
        <w:t xml:space="preserve"> identifications and site assignments were inspected manually.</w:t>
      </w:r>
    </w:p>
    <w:sectPr w:rsidR="007F61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D74"/>
    <w:rsid w:val="00677D74"/>
    <w:rsid w:val="007F6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Mayo Clinic</Company>
  <LinksUpToDate>false</LinksUpToDate>
  <CharactersWithSpaces>3355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Justilien, Verline, Ph.D.</dc:creator>
  <cp:lastModifiedBy>Justilien, Verline, Ph.D.</cp:lastModifiedBy>
  <cp:revision>1</cp:revision>
  <dcterms:created xsi:type="dcterms:W3CDTF">2020-04-09T16:09:00Z</dcterms:created>
  <dcterms:modified xsi:type="dcterms:W3CDTF">2020-04-09T16:09:00Z</dcterms:modified>
</cp:coreProperties>
</file>