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94CCE4" w14:textId="676D2E02" w:rsidR="0074664D" w:rsidRPr="00CE62C8" w:rsidRDefault="003C0DC3" w:rsidP="0074664D">
      <w:pPr>
        <w:rPr>
          <w:rFonts w:ascii="Arial" w:hAnsi="Arial" w:cs="Arial"/>
          <w:i/>
          <w:iCs/>
        </w:rPr>
      </w:pPr>
      <w:r>
        <w:rPr>
          <w:rFonts w:ascii="Arial" w:hAnsi="Arial" w:cs="Arial"/>
          <w:i/>
          <w:iCs/>
        </w:rPr>
        <w:t>Analysis of Histone Acylation by LC-MS/MS</w:t>
      </w:r>
    </w:p>
    <w:p w14:paraId="3F851C06" w14:textId="44B1D526" w:rsidR="0074664D" w:rsidRPr="00CE62C8" w:rsidRDefault="0074664D" w:rsidP="0098015E">
      <w:pPr>
        <w:jc w:val="both"/>
        <w:rPr>
          <w:rFonts w:ascii="Arial" w:hAnsi="Arial" w:cs="Arial"/>
          <w:color w:val="000000" w:themeColor="text1"/>
        </w:rPr>
      </w:pPr>
      <w:r w:rsidRPr="3973C8AE">
        <w:rPr>
          <w:rFonts w:ascii="Arial" w:hAnsi="Arial" w:cs="Arial"/>
          <w:color w:val="000000" w:themeColor="text1"/>
        </w:rPr>
        <w:t>Histones were prepared for MS analysis using derivatization with propionic anhydride as previously described</w:t>
      </w:r>
      <w:r w:rsidR="00A50B07">
        <w:rPr>
          <w:rFonts w:ascii="Arial" w:hAnsi="Arial" w:cs="Arial"/>
          <w:color w:val="000000" w:themeColor="text1"/>
        </w:rPr>
        <w:t xml:space="preserve"> </w:t>
      </w:r>
      <w:sdt>
        <w:sdtPr>
          <w:rPr>
            <w:rFonts w:ascii="Arial" w:hAnsi="Arial" w:cs="Arial"/>
            <w:color w:val="000000"/>
          </w:rPr>
          <w:tag w:val="MENDELEY_CITATION_v3_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"/>
          <w:id w:val="-547382953"/>
          <w:placeholder>
            <w:docPart w:val="DefaultPlaceholder_-1854013440"/>
          </w:placeholder>
        </w:sdtPr>
        <w:sdtContent>
          <w:r w:rsidR="004E5C75" w:rsidRPr="004E5C75">
            <w:rPr>
              <w:rFonts w:ascii="Arial" w:hAnsi="Arial" w:cs="Arial"/>
              <w:color w:val="000000"/>
            </w:rPr>
            <w:t>(Lund et al., 2019)</w:t>
          </w:r>
        </w:sdtContent>
      </w:sdt>
      <w:r w:rsidR="00D47C25">
        <w:rPr>
          <w:rFonts w:ascii="Arial" w:hAnsi="Arial" w:cs="Arial"/>
          <w:color w:val="000000"/>
        </w:rPr>
        <w:t xml:space="preserve"> </w:t>
      </w:r>
      <w:r w:rsidRPr="3973C8AE">
        <w:rPr>
          <w:rFonts w:ascii="Arial" w:hAnsi="Arial" w:cs="Arial"/>
          <w:color w:val="000000" w:themeColor="text1"/>
        </w:rPr>
        <w:t xml:space="preserve">except that isotopically labeled propionic anhydride (D10, 98%, Cambridge Isotope Laboratories Inc.) was used to differentiate endogenous (light) from artificial (heavy) histone </w:t>
      </w:r>
      <w:proofErr w:type="spellStart"/>
      <w:r w:rsidRPr="3973C8AE">
        <w:rPr>
          <w:rFonts w:ascii="Arial" w:hAnsi="Arial" w:cs="Arial"/>
          <w:color w:val="000000" w:themeColor="text1"/>
        </w:rPr>
        <w:t>propionylation</w:t>
      </w:r>
      <w:proofErr w:type="spellEnd"/>
      <w:r w:rsidRPr="3973C8AE">
        <w:rPr>
          <w:rFonts w:ascii="Arial" w:hAnsi="Arial" w:cs="Arial"/>
          <w:color w:val="000000" w:themeColor="text1"/>
        </w:rPr>
        <w:t xml:space="preserve">. Briefly, 1 volume of 25% propionic anhydride in 2-propanol was mixed with 2 volumes of 0.1M ammonium bicarbonate containing 10-20 </w:t>
      </w:r>
      <w:r w:rsidRPr="3973C8AE">
        <w:rPr>
          <w:rFonts w:ascii="Symbol" w:hAnsi="Symbol" w:cs="Arial"/>
          <w:color w:val="000000" w:themeColor="text1"/>
        </w:rPr>
        <w:t>m</w:t>
      </w:r>
      <w:r w:rsidRPr="3973C8AE">
        <w:rPr>
          <w:rFonts w:ascii="Arial" w:hAnsi="Arial" w:cs="Arial"/>
          <w:color w:val="000000" w:themeColor="text1"/>
        </w:rPr>
        <w:t xml:space="preserve">g of histone extracts or 2 </w:t>
      </w:r>
      <w:r w:rsidRPr="3973C8AE">
        <w:rPr>
          <w:rFonts w:ascii="Symbol" w:hAnsi="Symbol" w:cs="Arial"/>
          <w:color w:val="000000" w:themeColor="text1"/>
        </w:rPr>
        <w:t>m</w:t>
      </w:r>
      <w:r w:rsidRPr="3973C8AE">
        <w:rPr>
          <w:rFonts w:ascii="Arial" w:hAnsi="Arial" w:cs="Arial"/>
          <w:color w:val="000000" w:themeColor="text1"/>
        </w:rPr>
        <w:t xml:space="preserve">g of mono-nucleosome extracts. After allowing the reaction to proceed for 15 mins at 37°C, the histones were dried in a speed-vac. This derivatization was performed once more prior to digestion with trypsin (1 </w:t>
      </w:r>
      <w:r w:rsidRPr="3973C8AE">
        <w:rPr>
          <w:rFonts w:ascii="Symbol" w:eastAsia="Symbol" w:hAnsi="Symbol" w:cs="Arial"/>
          <w:color w:val="000000" w:themeColor="text1"/>
        </w:rPr>
        <w:t>m</w:t>
      </w:r>
      <w:r w:rsidRPr="3973C8AE">
        <w:rPr>
          <w:rFonts w:ascii="Arial" w:hAnsi="Arial" w:cs="Arial"/>
          <w:color w:val="000000" w:themeColor="text1"/>
        </w:rPr>
        <w:t xml:space="preserve">g per 20 </w:t>
      </w:r>
      <w:r w:rsidRPr="3973C8AE">
        <w:rPr>
          <w:rFonts w:ascii="Symbol" w:eastAsia="Symbol" w:hAnsi="Symbol" w:cs="Arial"/>
          <w:color w:val="000000" w:themeColor="text1"/>
        </w:rPr>
        <w:t>m</w:t>
      </w:r>
      <w:r w:rsidRPr="3973C8AE">
        <w:rPr>
          <w:rFonts w:ascii="Arial" w:hAnsi="Arial" w:cs="Arial"/>
          <w:color w:val="000000" w:themeColor="text1"/>
        </w:rPr>
        <w:t xml:space="preserve">g histones) overnight at room temperature in 0.1M ammonium bicarbonate. After digestion, two additional rounds of derivatization were performed to </w:t>
      </w:r>
      <w:proofErr w:type="spellStart"/>
      <w:r w:rsidRPr="3973C8AE">
        <w:rPr>
          <w:rFonts w:ascii="Arial" w:hAnsi="Arial" w:cs="Arial"/>
          <w:color w:val="000000" w:themeColor="text1"/>
        </w:rPr>
        <w:t>propionylate</w:t>
      </w:r>
      <w:proofErr w:type="spellEnd"/>
      <w:r w:rsidRPr="3973C8AE">
        <w:rPr>
          <w:rFonts w:ascii="Arial" w:hAnsi="Arial" w:cs="Arial"/>
          <w:color w:val="000000" w:themeColor="text1"/>
        </w:rPr>
        <w:t xml:space="preserve"> the free N-termini. Peptides were then desalted with C18 stage tips for analysis by LC-MS/MS.</w:t>
      </w:r>
    </w:p>
    <w:p w14:paraId="7090D9CF" w14:textId="3EAFA401" w:rsidR="0074664D" w:rsidRPr="0074664D" w:rsidRDefault="0074664D" w:rsidP="0098015E">
      <w:pPr>
        <w:jc w:val="both"/>
        <w:rPr>
          <w:rFonts w:ascii="Arial" w:hAnsi="Arial" w:cs="Arial"/>
          <w:color w:val="000000" w:themeColor="text1"/>
        </w:rPr>
      </w:pPr>
      <w:r w:rsidRPr="3973C8AE">
        <w:rPr>
          <w:rFonts w:ascii="Arial" w:hAnsi="Arial" w:cs="Arial"/>
          <w:color w:val="000000" w:themeColor="text1"/>
        </w:rPr>
        <w:t>Peptides were resolved by reversed phase liquid chromatography using EASY-</w:t>
      </w:r>
      <w:proofErr w:type="spellStart"/>
      <w:r w:rsidRPr="3973C8AE">
        <w:rPr>
          <w:rFonts w:ascii="Arial" w:hAnsi="Arial" w:cs="Arial"/>
          <w:color w:val="000000" w:themeColor="text1"/>
        </w:rPr>
        <w:t>nLC</w:t>
      </w:r>
      <w:proofErr w:type="spellEnd"/>
      <w:r w:rsidRPr="3973C8AE">
        <w:rPr>
          <w:rFonts w:ascii="Arial" w:hAnsi="Arial" w:cs="Arial"/>
          <w:color w:val="000000" w:themeColor="text1"/>
        </w:rPr>
        <w:t xml:space="preserve"> 1000, </w:t>
      </w:r>
      <w:proofErr w:type="spellStart"/>
      <w:r w:rsidRPr="3973C8AE">
        <w:rPr>
          <w:rFonts w:ascii="Arial" w:hAnsi="Arial" w:cs="Arial"/>
          <w:color w:val="000000" w:themeColor="text1"/>
        </w:rPr>
        <w:t>Dionex</w:t>
      </w:r>
      <w:proofErr w:type="spellEnd"/>
      <w:r w:rsidRPr="3973C8AE">
        <w:rPr>
          <w:rFonts w:ascii="Arial" w:hAnsi="Arial" w:cs="Arial"/>
          <w:color w:val="000000" w:themeColor="text1"/>
        </w:rPr>
        <w:t xml:space="preserve"> Ultimate3000, or </w:t>
      </w:r>
      <w:proofErr w:type="spellStart"/>
      <w:r w:rsidRPr="3973C8AE">
        <w:rPr>
          <w:rFonts w:ascii="Arial" w:hAnsi="Arial" w:cs="Arial"/>
          <w:color w:val="000000" w:themeColor="text1"/>
        </w:rPr>
        <w:t>NeoVanquish</w:t>
      </w:r>
      <w:proofErr w:type="spellEnd"/>
      <w:r w:rsidRPr="3973C8AE">
        <w:rPr>
          <w:rFonts w:ascii="Arial" w:hAnsi="Arial" w:cs="Arial"/>
          <w:color w:val="000000" w:themeColor="text1"/>
        </w:rPr>
        <w:t xml:space="preserve"> (</w:t>
      </w:r>
      <w:proofErr w:type="spellStart"/>
      <w:r w:rsidRPr="3973C8AE">
        <w:rPr>
          <w:rFonts w:ascii="Arial" w:hAnsi="Arial" w:cs="Arial"/>
          <w:color w:val="000000" w:themeColor="text1"/>
        </w:rPr>
        <w:t>Thermo</w:t>
      </w:r>
      <w:proofErr w:type="spellEnd"/>
      <w:r w:rsidRPr="3973C8AE">
        <w:rPr>
          <w:rFonts w:ascii="Arial" w:hAnsi="Arial" w:cs="Arial"/>
          <w:color w:val="000000" w:themeColor="text1"/>
        </w:rPr>
        <w:t xml:space="preserve">) systems fitted with 75 </w:t>
      </w:r>
      <w:r w:rsidRPr="3973C8AE">
        <w:rPr>
          <w:rFonts w:ascii="Symbol" w:eastAsia="Symbol" w:hAnsi="Symbol" w:cs="Arial"/>
          <w:color w:val="000000" w:themeColor="text1"/>
        </w:rPr>
        <w:t>m</w:t>
      </w:r>
      <w:r w:rsidRPr="3973C8AE">
        <w:rPr>
          <w:rFonts w:ascii="Arial" w:hAnsi="Arial" w:cs="Arial"/>
          <w:color w:val="000000" w:themeColor="text1"/>
        </w:rPr>
        <w:t xml:space="preserve">m </w:t>
      </w:r>
      <w:proofErr w:type="spellStart"/>
      <w:r w:rsidRPr="3973C8AE">
        <w:rPr>
          <w:rFonts w:ascii="Arial" w:hAnsi="Arial" w:cs="Arial"/>
          <w:color w:val="000000" w:themeColor="text1"/>
        </w:rPr>
        <w:t>i.d.</w:t>
      </w:r>
      <w:proofErr w:type="spellEnd"/>
      <w:r w:rsidRPr="3973C8AE">
        <w:rPr>
          <w:rFonts w:ascii="Arial" w:hAnsi="Arial" w:cs="Arial"/>
          <w:color w:val="000000" w:themeColor="text1"/>
        </w:rPr>
        <w:t xml:space="preserve"> columns (either 15-20 cm packed in-house with 2.4 </w:t>
      </w:r>
      <w:r w:rsidRPr="3973C8AE">
        <w:rPr>
          <w:rFonts w:ascii="Symbol" w:hAnsi="Symbol" w:cs="Arial"/>
          <w:color w:val="000000" w:themeColor="text1"/>
        </w:rPr>
        <w:t>m</w:t>
      </w:r>
      <w:r w:rsidRPr="3973C8AE">
        <w:rPr>
          <w:rFonts w:ascii="Arial" w:hAnsi="Arial" w:cs="Arial"/>
          <w:color w:val="000000" w:themeColor="text1"/>
        </w:rPr>
        <w:t xml:space="preserve">m C18 material or 25 cm Acclaim </w:t>
      </w:r>
      <w:proofErr w:type="spellStart"/>
      <w:r w:rsidRPr="3973C8AE">
        <w:rPr>
          <w:rFonts w:ascii="Arial" w:hAnsi="Arial" w:cs="Arial"/>
          <w:color w:val="000000" w:themeColor="text1"/>
        </w:rPr>
        <w:t>PepMap</w:t>
      </w:r>
      <w:proofErr w:type="spellEnd"/>
      <w:r w:rsidRPr="3973C8AE">
        <w:rPr>
          <w:rFonts w:ascii="Arial" w:hAnsi="Arial" w:cs="Arial"/>
          <w:color w:val="000000" w:themeColor="text1"/>
        </w:rPr>
        <w:t xml:space="preserve"> 3 </w:t>
      </w:r>
      <w:r w:rsidRPr="3973C8AE">
        <w:rPr>
          <w:rFonts w:ascii="Symbol" w:eastAsia="Symbol" w:hAnsi="Symbol" w:cs="Arial"/>
          <w:color w:val="000000" w:themeColor="text1"/>
        </w:rPr>
        <w:t>m</w:t>
      </w:r>
      <w:r w:rsidRPr="3973C8AE">
        <w:rPr>
          <w:rFonts w:ascii="Arial" w:hAnsi="Arial" w:cs="Arial"/>
          <w:color w:val="000000" w:themeColor="text1"/>
        </w:rPr>
        <w:t xml:space="preserve">m from </w:t>
      </w:r>
      <w:proofErr w:type="spellStart"/>
      <w:r w:rsidRPr="3973C8AE">
        <w:rPr>
          <w:rFonts w:ascii="Arial" w:hAnsi="Arial" w:cs="Arial"/>
          <w:color w:val="000000" w:themeColor="text1"/>
        </w:rPr>
        <w:t>Thermo</w:t>
      </w:r>
      <w:proofErr w:type="spellEnd"/>
      <w:r w:rsidRPr="3973C8AE">
        <w:rPr>
          <w:rFonts w:ascii="Arial" w:hAnsi="Arial" w:cs="Arial"/>
          <w:color w:val="000000" w:themeColor="text1"/>
        </w:rPr>
        <w:t>) positioned in line with a QE or QE-HF mass spectrometer (</w:t>
      </w:r>
      <w:proofErr w:type="spellStart"/>
      <w:r w:rsidRPr="3973C8AE">
        <w:rPr>
          <w:rFonts w:ascii="Arial" w:hAnsi="Arial" w:cs="Arial"/>
          <w:color w:val="000000" w:themeColor="text1"/>
        </w:rPr>
        <w:t>Thermo</w:t>
      </w:r>
      <w:proofErr w:type="spellEnd"/>
      <w:r w:rsidRPr="3973C8AE">
        <w:rPr>
          <w:rFonts w:ascii="Arial" w:hAnsi="Arial" w:cs="Arial"/>
          <w:color w:val="000000" w:themeColor="text1"/>
        </w:rPr>
        <w:t xml:space="preserve">). The chromatography gradient typically started at 2% B for 2 mins, increasing to 10% B from 2-4 mins, increasing to 30% B from 4-49 mins, and increasing to 90% B from 49-52 mins. In some cases, another gradient was used increasing from 2 to 45% B from 0-40 mins and then increasing to 95% B from 40-41 mins. Solvents A and B consisted of 0.1% formic acid in water and 80% acetonitrile with 0.1% formic acid, respectively. Parallel reaction monitoring (PRM) was used to analyze peptides of interest, including the unmodified, acetylated, </w:t>
      </w:r>
      <w:proofErr w:type="spellStart"/>
      <w:r w:rsidRPr="3973C8AE">
        <w:rPr>
          <w:rFonts w:ascii="Arial" w:hAnsi="Arial" w:cs="Arial"/>
          <w:color w:val="000000" w:themeColor="text1"/>
        </w:rPr>
        <w:t>butyrylated</w:t>
      </w:r>
      <w:proofErr w:type="spellEnd"/>
      <w:r w:rsidRPr="3973C8AE">
        <w:rPr>
          <w:rFonts w:ascii="Arial" w:hAnsi="Arial" w:cs="Arial"/>
          <w:color w:val="000000" w:themeColor="text1"/>
        </w:rPr>
        <w:t xml:space="preserve">, and endogenously </w:t>
      </w:r>
      <w:proofErr w:type="spellStart"/>
      <w:r w:rsidRPr="3973C8AE">
        <w:rPr>
          <w:rFonts w:ascii="Arial" w:hAnsi="Arial" w:cs="Arial"/>
          <w:color w:val="000000" w:themeColor="text1"/>
        </w:rPr>
        <w:t>propionylated</w:t>
      </w:r>
      <w:proofErr w:type="spellEnd"/>
      <w:r w:rsidRPr="3973C8AE">
        <w:rPr>
          <w:rFonts w:ascii="Arial" w:hAnsi="Arial" w:cs="Arial"/>
          <w:color w:val="000000" w:themeColor="text1"/>
        </w:rPr>
        <w:t xml:space="preserve"> forms of H3K9 and H3K27. Typical parameters of the PRM were as follows: positive polarity; 17,500 or 30,000 </w:t>
      </w:r>
      <w:proofErr w:type="gramStart"/>
      <w:r w:rsidRPr="3973C8AE">
        <w:rPr>
          <w:rFonts w:ascii="Arial" w:hAnsi="Arial" w:cs="Arial"/>
          <w:color w:val="000000" w:themeColor="text1"/>
        </w:rPr>
        <w:t>resolution</w:t>
      </w:r>
      <w:proofErr w:type="gramEnd"/>
      <w:r w:rsidRPr="3973C8AE">
        <w:rPr>
          <w:rFonts w:ascii="Arial" w:hAnsi="Arial" w:cs="Arial"/>
          <w:color w:val="000000" w:themeColor="text1"/>
        </w:rPr>
        <w:t xml:space="preserve">; 5e5 or 1e6 AGC; 50 or 100 </w:t>
      </w:r>
      <w:proofErr w:type="spellStart"/>
      <w:r w:rsidRPr="3973C8AE">
        <w:rPr>
          <w:rFonts w:ascii="Arial" w:hAnsi="Arial" w:cs="Arial"/>
          <w:color w:val="000000" w:themeColor="text1"/>
        </w:rPr>
        <w:t>ms</w:t>
      </w:r>
      <w:proofErr w:type="spellEnd"/>
      <w:r w:rsidRPr="3973C8AE">
        <w:rPr>
          <w:rFonts w:ascii="Arial" w:hAnsi="Arial" w:cs="Arial"/>
          <w:color w:val="000000" w:themeColor="text1"/>
        </w:rPr>
        <w:t xml:space="preserve"> max injection time; 11 or 20 loop count; 1.2 m/z isolation width or 3.0 m/z isolation width with 0.7 m/z offset; 30 NCE; centroid mode.  Each cycle also included a full MS scan with typical settings as follows: positive polarity; 60,000 or 70,000 </w:t>
      </w:r>
      <w:proofErr w:type="gramStart"/>
      <w:r w:rsidRPr="3973C8AE">
        <w:rPr>
          <w:rFonts w:ascii="Arial" w:hAnsi="Arial" w:cs="Arial"/>
          <w:color w:val="000000" w:themeColor="text1"/>
        </w:rPr>
        <w:t>resolution</w:t>
      </w:r>
      <w:proofErr w:type="gramEnd"/>
      <w:r w:rsidRPr="3973C8AE">
        <w:rPr>
          <w:rFonts w:ascii="Arial" w:hAnsi="Arial" w:cs="Arial"/>
          <w:color w:val="000000" w:themeColor="text1"/>
        </w:rPr>
        <w:t xml:space="preserve">; 1e6 AGC; 50 or 100 </w:t>
      </w:r>
      <w:proofErr w:type="spellStart"/>
      <w:r w:rsidRPr="3973C8AE">
        <w:rPr>
          <w:rFonts w:ascii="Arial" w:hAnsi="Arial" w:cs="Arial"/>
          <w:color w:val="000000" w:themeColor="text1"/>
        </w:rPr>
        <w:t>ms</w:t>
      </w:r>
      <w:proofErr w:type="spellEnd"/>
      <w:r w:rsidRPr="3973C8AE">
        <w:rPr>
          <w:rFonts w:ascii="Arial" w:hAnsi="Arial" w:cs="Arial"/>
          <w:color w:val="000000" w:themeColor="text1"/>
        </w:rPr>
        <w:t xml:space="preserve"> max injection time; 200-1200 or 250-1000 m/z scan range; profile mode.  Data were analyzed with Skyline and fragmentation patterns were visualized with the Interactive Peptide Spectral Annotator (interactivepeptidespectralannotator.com,</w:t>
      </w:r>
      <w:sdt>
        <w:sdtPr>
          <w:rPr>
            <w:rFonts w:ascii="Arial" w:hAnsi="Arial" w:cs="Arial"/>
            <w:color w:val="000000"/>
          </w:rPr>
          <w:tag w:val="MENDELEY_CITATION_v3_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"/>
          <w:id w:val="-1104335980"/>
          <w:placeholder>
            <w:docPart w:val="DefaultPlaceholder_-1854013440"/>
          </w:placeholder>
        </w:sdtPr>
        <w:sdtContent>
          <w:r w:rsidR="004E5C75" w:rsidRPr="004E5C75">
            <w:rPr>
              <w:rFonts w:ascii="Arial" w:hAnsi="Arial" w:cs="Arial"/>
              <w:color w:val="000000"/>
            </w:rPr>
            <w:t>(</w:t>
          </w:r>
          <w:proofErr w:type="spellStart"/>
          <w:r w:rsidR="004E5C75" w:rsidRPr="004E5C75">
            <w:rPr>
              <w:rFonts w:ascii="Arial" w:hAnsi="Arial" w:cs="Arial"/>
              <w:color w:val="000000"/>
            </w:rPr>
            <w:t>Brademan</w:t>
          </w:r>
          <w:proofErr w:type="spellEnd"/>
          <w:r w:rsidR="004E5C75" w:rsidRPr="004E5C75">
            <w:rPr>
              <w:rFonts w:ascii="Arial" w:hAnsi="Arial" w:cs="Arial"/>
              <w:color w:val="000000"/>
            </w:rPr>
            <w:t xml:space="preserve"> et al., 2019)</w:t>
          </w:r>
        </w:sdtContent>
      </w:sdt>
      <w:r w:rsidRPr="3973C8AE">
        <w:rPr>
          <w:rFonts w:ascii="Arial" w:hAnsi="Arial" w:cs="Arial"/>
          <w:color w:val="000000" w:themeColor="text1"/>
        </w:rPr>
        <w:t xml:space="preserve">).  Peptide modifications that were considered included artificial D5-propionyl (+61.057598 to K and N-termini), endogenous </w:t>
      </w:r>
      <w:r w:rsidRPr="0074664D">
        <w:rPr>
          <w:rFonts w:ascii="Arial" w:hAnsi="Arial" w:cs="Arial"/>
          <w:color w:val="000000" w:themeColor="text1"/>
        </w:rPr>
        <w:t>propionyl (+56.026215 to K), butyryl (+70.041865 to K), and acetyl (+42.010565 to K).</w:t>
      </w:r>
    </w:p>
    <w:p w14:paraId="743E4C7C" w14:textId="754AFC87" w:rsidR="00D93BA5" w:rsidRDefault="0074664D" w:rsidP="000E5202">
      <w:pPr>
        <w:jc w:val="both"/>
        <w:rPr>
          <w:rFonts w:ascii="Arial" w:hAnsi="Arial" w:cs="Arial"/>
        </w:rPr>
      </w:pPr>
      <w:r w:rsidRPr="006D5F93">
        <w:rPr>
          <w:rFonts w:ascii="Arial" w:hAnsi="Arial" w:cs="Arial"/>
        </w:rPr>
        <w:t xml:space="preserve">To construct the titration curve of histone acyl marks, </w:t>
      </w:r>
      <w:r w:rsidR="00FD552E" w:rsidRPr="006D5F93">
        <w:rPr>
          <w:rFonts w:ascii="Arial" w:hAnsi="Arial" w:cs="Arial"/>
        </w:rPr>
        <w:t xml:space="preserve">2 </w:t>
      </w:r>
      <w:r w:rsidR="00D93BA5" w:rsidRPr="006D5F93">
        <w:rPr>
          <w:rFonts w:ascii="Arial" w:hAnsi="Arial" w:cs="Arial"/>
        </w:rPr>
        <w:sym w:font="Symbol" w:char="F06D"/>
      </w:r>
      <w:r w:rsidR="00FD552E" w:rsidRPr="006D5F93">
        <w:rPr>
          <w:rFonts w:ascii="Arial" w:hAnsi="Arial" w:cs="Arial"/>
        </w:rPr>
        <w:t xml:space="preserve">g of </w:t>
      </w:r>
      <w:r w:rsidRPr="006D5F93">
        <w:rPr>
          <w:rFonts w:ascii="Arial" w:hAnsi="Arial" w:cs="Arial"/>
        </w:rPr>
        <w:t xml:space="preserve">unmodified </w:t>
      </w:r>
      <w:r w:rsidR="00FD552E" w:rsidRPr="006D5F93">
        <w:rPr>
          <w:rFonts w:ascii="Arial" w:hAnsi="Arial" w:cs="Arial"/>
        </w:rPr>
        <w:t>or</w:t>
      </w:r>
      <w:r w:rsidRPr="006D5F93">
        <w:rPr>
          <w:rFonts w:ascii="Arial" w:hAnsi="Arial" w:cs="Arial"/>
        </w:rPr>
        <w:t xml:space="preserve"> acylated mono-nucleosomes </w:t>
      </w:r>
      <w:r w:rsidR="00FD552E" w:rsidRPr="006D5F93">
        <w:rPr>
          <w:rFonts w:ascii="Arial" w:hAnsi="Arial" w:cs="Arial"/>
        </w:rPr>
        <w:t xml:space="preserve">(H3K9ac, H3K9bu, H3K27ac, H3K27bu) </w:t>
      </w:r>
      <w:r w:rsidRPr="006D5F93">
        <w:rPr>
          <w:rFonts w:ascii="Arial" w:hAnsi="Arial" w:cs="Arial"/>
        </w:rPr>
        <w:t xml:space="preserve">were </w:t>
      </w:r>
      <w:r w:rsidR="00FD552E" w:rsidRPr="006D5F93">
        <w:rPr>
          <w:rFonts w:ascii="Arial" w:hAnsi="Arial" w:cs="Arial"/>
        </w:rPr>
        <w:t xml:space="preserve">separately </w:t>
      </w:r>
      <w:proofErr w:type="spellStart"/>
      <w:r w:rsidRPr="006D5F93">
        <w:rPr>
          <w:rFonts w:ascii="Arial" w:hAnsi="Arial" w:cs="Arial"/>
        </w:rPr>
        <w:t>propionylated</w:t>
      </w:r>
      <w:proofErr w:type="spellEnd"/>
      <w:r w:rsidR="00FD552E" w:rsidRPr="006D5F93">
        <w:rPr>
          <w:rFonts w:ascii="Arial" w:hAnsi="Arial" w:cs="Arial"/>
        </w:rPr>
        <w:t xml:space="preserve">, </w:t>
      </w:r>
      <w:r w:rsidRPr="006D5F93">
        <w:rPr>
          <w:rFonts w:ascii="Arial" w:hAnsi="Arial" w:cs="Arial"/>
        </w:rPr>
        <w:t>digested, and analyzed by LC-MS/MS</w:t>
      </w:r>
      <w:r w:rsidR="009A77B2" w:rsidRPr="006D5F93">
        <w:rPr>
          <w:rFonts w:ascii="Arial" w:hAnsi="Arial" w:cs="Arial"/>
        </w:rPr>
        <w:t xml:space="preserve"> </w:t>
      </w:r>
      <w:r w:rsidR="000C30B7" w:rsidRPr="006D5F93">
        <w:rPr>
          <w:rFonts w:ascii="Arial" w:hAnsi="Arial" w:cs="Arial"/>
        </w:rPr>
        <w:t>using</w:t>
      </w:r>
      <w:r w:rsidR="009A77B2" w:rsidRPr="006D5F93">
        <w:rPr>
          <w:rFonts w:ascii="Arial" w:hAnsi="Arial" w:cs="Arial"/>
        </w:rPr>
        <w:t xml:space="preserve"> </w:t>
      </w:r>
      <w:r w:rsidR="000C30B7" w:rsidRPr="006D5F93">
        <w:rPr>
          <w:rFonts w:ascii="Arial" w:hAnsi="Arial" w:cs="Arial"/>
        </w:rPr>
        <w:t xml:space="preserve">0.2 </w:t>
      </w:r>
      <w:r w:rsidR="000C30B7" w:rsidRPr="006D5F93">
        <w:rPr>
          <w:rFonts w:ascii="Arial" w:hAnsi="Arial" w:cs="Arial"/>
        </w:rPr>
        <w:sym w:font="Symbol" w:char="F06D"/>
      </w:r>
      <w:r w:rsidR="000C30B7" w:rsidRPr="006D5F93">
        <w:rPr>
          <w:rFonts w:ascii="Arial" w:hAnsi="Arial" w:cs="Arial"/>
        </w:rPr>
        <w:t xml:space="preserve">g </w:t>
      </w:r>
      <w:r w:rsidR="009A77B2" w:rsidRPr="006D5F93">
        <w:rPr>
          <w:rFonts w:ascii="Arial" w:hAnsi="Arial" w:cs="Arial"/>
        </w:rPr>
        <w:t>injection</w:t>
      </w:r>
      <w:r w:rsidR="000C30B7" w:rsidRPr="006D5F93">
        <w:rPr>
          <w:rFonts w:ascii="Arial" w:hAnsi="Arial" w:cs="Arial"/>
        </w:rPr>
        <w:t>s</w:t>
      </w:r>
      <w:r w:rsidRPr="006D5F93">
        <w:rPr>
          <w:rFonts w:ascii="Arial" w:hAnsi="Arial" w:cs="Arial"/>
        </w:rPr>
        <w:t>.</w:t>
      </w:r>
      <w:r w:rsidR="00FD552E" w:rsidRPr="006D5F93">
        <w:rPr>
          <w:rFonts w:ascii="Arial" w:hAnsi="Arial" w:cs="Arial"/>
        </w:rPr>
        <w:t xml:space="preserve"> </w:t>
      </w:r>
      <w:r w:rsidR="00A41884" w:rsidRPr="006D5F93">
        <w:rPr>
          <w:rFonts w:ascii="Arial" w:hAnsi="Arial" w:cs="Arial"/>
        </w:rPr>
        <w:t xml:space="preserve">Based on </w:t>
      </w:r>
      <w:r w:rsidR="00057A66" w:rsidRPr="006D5F93">
        <w:rPr>
          <w:rFonts w:ascii="Arial" w:hAnsi="Arial" w:cs="Arial"/>
        </w:rPr>
        <w:t xml:space="preserve">the observed </w:t>
      </w:r>
      <w:r w:rsidR="00A41884" w:rsidRPr="006D5F93">
        <w:rPr>
          <w:rFonts w:ascii="Arial" w:hAnsi="Arial" w:cs="Arial"/>
        </w:rPr>
        <w:t xml:space="preserve">peak areas of </w:t>
      </w:r>
      <w:r w:rsidR="007F37D3" w:rsidRPr="006D5F93">
        <w:rPr>
          <w:rFonts w:ascii="Arial" w:hAnsi="Arial" w:cs="Arial"/>
        </w:rPr>
        <w:t xml:space="preserve">selected </w:t>
      </w:r>
      <w:r w:rsidR="00A41884" w:rsidRPr="006D5F93">
        <w:rPr>
          <w:rFonts w:ascii="Arial" w:hAnsi="Arial" w:cs="Arial"/>
        </w:rPr>
        <w:t xml:space="preserve">unmodified peptides from H2A, </w:t>
      </w:r>
      <w:r w:rsidR="001C3421" w:rsidRPr="006D5F93">
        <w:rPr>
          <w:rFonts w:ascii="Arial" w:hAnsi="Arial" w:cs="Arial"/>
        </w:rPr>
        <w:t xml:space="preserve">H2B, </w:t>
      </w:r>
      <w:r w:rsidR="00A41884" w:rsidRPr="006D5F93">
        <w:rPr>
          <w:rFonts w:ascii="Arial" w:hAnsi="Arial" w:cs="Arial"/>
        </w:rPr>
        <w:t>H3, and H</w:t>
      </w:r>
      <w:r w:rsidR="008C431F" w:rsidRPr="006D5F93">
        <w:rPr>
          <w:rFonts w:ascii="Arial" w:hAnsi="Arial" w:cs="Arial"/>
        </w:rPr>
        <w:t>4</w:t>
      </w:r>
      <w:r w:rsidR="00A41884" w:rsidRPr="006D5F93">
        <w:rPr>
          <w:rFonts w:ascii="Arial" w:hAnsi="Arial" w:cs="Arial"/>
        </w:rPr>
        <w:t>, p</w:t>
      </w:r>
      <w:r w:rsidR="00FD552E" w:rsidRPr="006D5F93">
        <w:rPr>
          <w:rFonts w:ascii="Arial" w:hAnsi="Arial" w:cs="Arial"/>
        </w:rPr>
        <w:t>eptide concentrations were equalized</w:t>
      </w:r>
      <w:r w:rsidR="00192A54" w:rsidRPr="006D5F93">
        <w:rPr>
          <w:rFonts w:ascii="Arial" w:hAnsi="Arial" w:cs="Arial"/>
        </w:rPr>
        <w:t xml:space="preserve"> again</w:t>
      </w:r>
      <w:r w:rsidR="00760265" w:rsidRPr="006D5F93">
        <w:rPr>
          <w:rFonts w:ascii="Arial" w:hAnsi="Arial" w:cs="Arial"/>
        </w:rPr>
        <w:t xml:space="preserve"> to </w:t>
      </w:r>
      <w:r w:rsidR="008D5614" w:rsidRPr="006D5F93">
        <w:rPr>
          <w:rFonts w:ascii="Arial" w:hAnsi="Arial" w:cs="Arial"/>
        </w:rPr>
        <w:t>110</w:t>
      </w:r>
      <w:r w:rsidR="00760265" w:rsidRPr="006D5F93">
        <w:rPr>
          <w:rFonts w:ascii="Arial" w:hAnsi="Arial" w:cs="Arial"/>
        </w:rPr>
        <w:t xml:space="preserve"> </w:t>
      </w:r>
      <w:r w:rsidR="008D5614" w:rsidRPr="006D5F93">
        <w:rPr>
          <w:rFonts w:ascii="Arial" w:hAnsi="Arial" w:cs="Arial"/>
        </w:rPr>
        <w:t>n</w:t>
      </w:r>
      <w:r w:rsidR="00760265" w:rsidRPr="006D5F93">
        <w:rPr>
          <w:rFonts w:ascii="Arial" w:hAnsi="Arial" w:cs="Arial"/>
        </w:rPr>
        <w:t>g/</w:t>
      </w:r>
      <w:r w:rsidR="00110530" w:rsidRPr="006D5F93">
        <w:rPr>
          <w:rFonts w:ascii="Arial" w:hAnsi="Arial" w:cs="Arial"/>
        </w:rPr>
        <w:sym w:font="Symbol" w:char="F06D"/>
      </w:r>
      <w:r w:rsidR="00760265" w:rsidRPr="006D5F93">
        <w:rPr>
          <w:rFonts w:ascii="Arial" w:hAnsi="Arial" w:cs="Arial"/>
        </w:rPr>
        <w:t>l.</w:t>
      </w:r>
      <w:r w:rsidR="00110530" w:rsidRPr="006D5F93">
        <w:rPr>
          <w:rFonts w:ascii="Arial" w:hAnsi="Arial" w:cs="Arial"/>
        </w:rPr>
        <w:t xml:space="preserve"> </w:t>
      </w:r>
      <w:r w:rsidR="008C51C9" w:rsidRPr="006D5F93">
        <w:rPr>
          <w:rFonts w:ascii="Arial" w:hAnsi="Arial" w:cs="Arial"/>
        </w:rPr>
        <w:t xml:space="preserve">A 10-fold </w:t>
      </w:r>
      <w:r w:rsidR="00B87172" w:rsidRPr="006D5F93">
        <w:rPr>
          <w:rFonts w:ascii="Arial" w:hAnsi="Arial" w:cs="Arial"/>
        </w:rPr>
        <w:t>dilution series</w:t>
      </w:r>
      <w:r w:rsidR="008C51C9" w:rsidRPr="006D5F93">
        <w:rPr>
          <w:rFonts w:ascii="Arial" w:hAnsi="Arial" w:cs="Arial"/>
        </w:rPr>
        <w:t xml:space="preserve"> was then prepared from a </w:t>
      </w:r>
      <w:r w:rsidR="007C4895" w:rsidRPr="006D5F93">
        <w:rPr>
          <w:rFonts w:ascii="Arial" w:hAnsi="Arial" w:cs="Arial"/>
        </w:rPr>
        <w:t xml:space="preserve">standard </w:t>
      </w:r>
      <w:r w:rsidR="00506508" w:rsidRPr="006D5F93">
        <w:rPr>
          <w:rFonts w:ascii="Arial" w:hAnsi="Arial" w:cs="Arial"/>
        </w:rPr>
        <w:t xml:space="preserve">mixture of acyl </w:t>
      </w:r>
      <w:r w:rsidR="00081377" w:rsidRPr="006D5F93">
        <w:rPr>
          <w:rFonts w:ascii="Arial" w:hAnsi="Arial" w:cs="Arial"/>
        </w:rPr>
        <w:t>marks</w:t>
      </w:r>
      <w:r w:rsidR="003C0318" w:rsidRPr="006D5F93">
        <w:rPr>
          <w:rFonts w:ascii="Arial" w:hAnsi="Arial" w:cs="Arial"/>
        </w:rPr>
        <w:t>,</w:t>
      </w:r>
      <w:r w:rsidR="00081377" w:rsidRPr="006D5F93">
        <w:rPr>
          <w:rFonts w:ascii="Arial" w:hAnsi="Arial" w:cs="Arial"/>
        </w:rPr>
        <w:t xml:space="preserve"> </w:t>
      </w:r>
      <w:r w:rsidR="008C51C9" w:rsidRPr="006D5F93">
        <w:rPr>
          <w:rFonts w:ascii="Arial" w:hAnsi="Arial" w:cs="Arial"/>
        </w:rPr>
        <w:t xml:space="preserve">originally </w:t>
      </w:r>
      <w:r w:rsidR="001E69D9" w:rsidRPr="006D5F93">
        <w:rPr>
          <w:rFonts w:ascii="Arial" w:hAnsi="Arial" w:cs="Arial"/>
        </w:rPr>
        <w:t>containing</w:t>
      </w:r>
      <w:r w:rsidR="00081377" w:rsidRPr="006D5F93">
        <w:rPr>
          <w:rFonts w:ascii="Arial" w:hAnsi="Arial" w:cs="Arial"/>
        </w:rPr>
        <w:t xml:space="preserve"> 3 </w:t>
      </w:r>
      <w:r w:rsidR="00F36AB5" w:rsidRPr="006D5F93">
        <w:rPr>
          <w:rFonts w:ascii="Arial" w:hAnsi="Arial" w:cs="Arial"/>
        </w:rPr>
        <w:sym w:font="Symbol" w:char="F06D"/>
      </w:r>
      <w:r w:rsidR="00081377" w:rsidRPr="006D5F93">
        <w:rPr>
          <w:rFonts w:ascii="Arial" w:hAnsi="Arial" w:cs="Arial"/>
        </w:rPr>
        <w:t>l of each acyl mark</w:t>
      </w:r>
      <w:r w:rsidR="008C51C9" w:rsidRPr="006D5F93">
        <w:rPr>
          <w:rFonts w:ascii="Arial" w:hAnsi="Arial" w:cs="Arial"/>
        </w:rPr>
        <w:t>.</w:t>
      </w:r>
      <w:r w:rsidR="003763EE" w:rsidRPr="006D5F93">
        <w:rPr>
          <w:rFonts w:ascii="Arial" w:hAnsi="Arial" w:cs="Arial"/>
        </w:rPr>
        <w:t xml:space="preserve">  8 </w:t>
      </w:r>
      <w:r w:rsidR="00F36AB5" w:rsidRPr="006D5F93">
        <w:rPr>
          <w:rFonts w:ascii="Arial" w:hAnsi="Arial" w:cs="Arial"/>
        </w:rPr>
        <w:sym w:font="Symbol" w:char="F06D"/>
      </w:r>
      <w:r w:rsidR="003763EE" w:rsidRPr="006D5F93">
        <w:rPr>
          <w:rFonts w:ascii="Arial" w:hAnsi="Arial" w:cs="Arial"/>
        </w:rPr>
        <w:t xml:space="preserve">l of </w:t>
      </w:r>
      <w:r w:rsidR="004A7FFD" w:rsidRPr="006D5F93">
        <w:rPr>
          <w:rFonts w:ascii="Arial" w:hAnsi="Arial" w:cs="Arial"/>
        </w:rPr>
        <w:t>each dilution, including the</w:t>
      </w:r>
      <w:r w:rsidR="00CC1A01" w:rsidRPr="006D5F93">
        <w:rPr>
          <w:rFonts w:ascii="Arial" w:hAnsi="Arial" w:cs="Arial"/>
        </w:rPr>
        <w:t xml:space="preserve"> starting mixture</w:t>
      </w:r>
      <w:r w:rsidR="004A7FFD" w:rsidRPr="006D5F93">
        <w:rPr>
          <w:rFonts w:ascii="Arial" w:hAnsi="Arial" w:cs="Arial"/>
        </w:rPr>
        <w:t>, was then combined with 2</w:t>
      </w:r>
      <w:r w:rsidR="003403FB" w:rsidRPr="006D5F93">
        <w:rPr>
          <w:rFonts w:ascii="Arial" w:hAnsi="Arial" w:cs="Arial"/>
        </w:rPr>
        <w:t xml:space="preserve"> </w:t>
      </w:r>
      <w:r w:rsidR="00F36AB5" w:rsidRPr="006D5F93">
        <w:rPr>
          <w:rFonts w:ascii="Arial" w:hAnsi="Arial" w:cs="Arial"/>
        </w:rPr>
        <w:sym w:font="Symbol" w:char="F06D"/>
      </w:r>
      <w:r w:rsidR="004A7FFD" w:rsidRPr="006D5F93">
        <w:rPr>
          <w:rFonts w:ascii="Arial" w:hAnsi="Arial" w:cs="Arial"/>
        </w:rPr>
        <w:t xml:space="preserve">l of </w:t>
      </w:r>
      <w:r w:rsidR="000A3916" w:rsidRPr="006D5F93">
        <w:rPr>
          <w:rFonts w:ascii="Arial" w:hAnsi="Arial" w:cs="Arial"/>
        </w:rPr>
        <w:t>peptides from unmodified nucleosomes.</w:t>
      </w:r>
      <w:r w:rsidR="00AA538A" w:rsidRPr="006D5F93">
        <w:rPr>
          <w:rFonts w:ascii="Arial" w:hAnsi="Arial" w:cs="Arial"/>
        </w:rPr>
        <w:t xml:space="preserve"> </w:t>
      </w:r>
      <w:r w:rsidR="00A1627F" w:rsidRPr="006D5F93">
        <w:rPr>
          <w:rFonts w:ascii="Arial" w:hAnsi="Arial" w:cs="Arial"/>
        </w:rPr>
        <w:t xml:space="preserve">In this way, </w:t>
      </w:r>
      <w:r w:rsidR="001603FB" w:rsidRPr="006D5F93">
        <w:rPr>
          <w:rFonts w:ascii="Arial" w:hAnsi="Arial" w:cs="Arial"/>
        </w:rPr>
        <w:t xml:space="preserve">accounting for the </w:t>
      </w:r>
      <w:r w:rsidR="00EF74EE" w:rsidRPr="006D5F93">
        <w:rPr>
          <w:rFonts w:ascii="Arial" w:hAnsi="Arial" w:cs="Arial"/>
        </w:rPr>
        <w:t xml:space="preserve">unmodified H3K9 and H3K27 </w:t>
      </w:r>
      <w:r w:rsidR="00A02C10" w:rsidRPr="006D5F93">
        <w:rPr>
          <w:rFonts w:ascii="Arial" w:hAnsi="Arial" w:cs="Arial"/>
        </w:rPr>
        <w:t xml:space="preserve">present in acylated H3K27 or H3K9 </w:t>
      </w:r>
      <w:r w:rsidR="00C36655" w:rsidRPr="006D5F93">
        <w:rPr>
          <w:rFonts w:ascii="Arial" w:hAnsi="Arial" w:cs="Arial"/>
        </w:rPr>
        <w:t xml:space="preserve">mono-nucleosomes, respectively, </w:t>
      </w:r>
      <w:r w:rsidR="004524C5" w:rsidRPr="006D5F93">
        <w:rPr>
          <w:rFonts w:ascii="Arial" w:hAnsi="Arial" w:cs="Arial"/>
        </w:rPr>
        <w:t xml:space="preserve">in addition to the </w:t>
      </w:r>
      <w:r w:rsidR="00A2360A" w:rsidRPr="006D5F93">
        <w:rPr>
          <w:rFonts w:ascii="Arial" w:hAnsi="Arial" w:cs="Arial"/>
        </w:rPr>
        <w:t>unmodified H3K9 and H3K27 in</w:t>
      </w:r>
      <w:r w:rsidR="004524C5" w:rsidRPr="006D5F93">
        <w:rPr>
          <w:rFonts w:ascii="Arial" w:hAnsi="Arial" w:cs="Arial"/>
        </w:rPr>
        <w:t xml:space="preserve"> unmodified mono-nucleosome</w:t>
      </w:r>
      <w:r w:rsidR="00A2360A" w:rsidRPr="006D5F93">
        <w:rPr>
          <w:rFonts w:ascii="Arial" w:hAnsi="Arial" w:cs="Arial"/>
        </w:rPr>
        <w:t>s</w:t>
      </w:r>
      <w:r w:rsidR="004524C5" w:rsidRPr="006D5F93">
        <w:rPr>
          <w:rFonts w:ascii="Arial" w:hAnsi="Arial" w:cs="Arial"/>
        </w:rPr>
        <w:t xml:space="preserve">, </w:t>
      </w:r>
      <w:r w:rsidR="00A1627F" w:rsidRPr="006D5F93">
        <w:rPr>
          <w:rFonts w:ascii="Arial" w:hAnsi="Arial" w:cs="Arial"/>
        </w:rPr>
        <w:t>the</w:t>
      </w:r>
      <w:r w:rsidR="00063B20" w:rsidRPr="006D5F93">
        <w:rPr>
          <w:rFonts w:ascii="Arial" w:hAnsi="Arial" w:cs="Arial"/>
        </w:rPr>
        <w:t xml:space="preserve"> ratio of</w:t>
      </w:r>
      <w:r w:rsidR="00A1627F" w:rsidRPr="006D5F93">
        <w:rPr>
          <w:rFonts w:ascii="Arial" w:hAnsi="Arial" w:cs="Arial"/>
        </w:rPr>
        <w:t xml:space="preserve"> each acyl mark </w:t>
      </w:r>
      <w:r w:rsidR="00063B20" w:rsidRPr="006D5F93">
        <w:rPr>
          <w:rFonts w:ascii="Arial" w:hAnsi="Arial" w:cs="Arial"/>
        </w:rPr>
        <w:t xml:space="preserve">to </w:t>
      </w:r>
      <w:r w:rsidR="00C36655" w:rsidRPr="006D5F93">
        <w:rPr>
          <w:rFonts w:ascii="Arial" w:hAnsi="Arial" w:cs="Arial"/>
        </w:rPr>
        <w:t xml:space="preserve">its corresponding </w:t>
      </w:r>
      <w:r w:rsidR="00063B20" w:rsidRPr="006D5F93">
        <w:rPr>
          <w:rFonts w:ascii="Arial" w:hAnsi="Arial" w:cs="Arial"/>
        </w:rPr>
        <w:t xml:space="preserve">unmodified </w:t>
      </w:r>
      <w:r w:rsidR="006239CD" w:rsidRPr="006D5F93">
        <w:rPr>
          <w:rFonts w:ascii="Arial" w:hAnsi="Arial" w:cs="Arial"/>
        </w:rPr>
        <w:t>background</w:t>
      </w:r>
      <w:r w:rsidR="000E78CB" w:rsidRPr="006D5F93">
        <w:rPr>
          <w:rFonts w:ascii="Arial" w:hAnsi="Arial" w:cs="Arial"/>
        </w:rPr>
        <w:t xml:space="preserve"> ranges from </w:t>
      </w:r>
      <w:r w:rsidR="0072415F" w:rsidRPr="006D5F93">
        <w:rPr>
          <w:rFonts w:ascii="Arial" w:hAnsi="Arial" w:cs="Arial"/>
        </w:rPr>
        <w:t>3.3E-1</w:t>
      </w:r>
      <w:r w:rsidR="006239CD" w:rsidRPr="006D5F93">
        <w:rPr>
          <w:rFonts w:ascii="Arial" w:hAnsi="Arial" w:cs="Arial"/>
        </w:rPr>
        <w:t xml:space="preserve"> to </w:t>
      </w:r>
      <w:r w:rsidR="0072415F" w:rsidRPr="006D5F93">
        <w:rPr>
          <w:rFonts w:ascii="Arial" w:hAnsi="Arial" w:cs="Arial"/>
        </w:rPr>
        <w:t>2</w:t>
      </w:r>
      <w:r w:rsidR="006239CD" w:rsidRPr="006D5F93">
        <w:rPr>
          <w:rFonts w:ascii="Arial" w:hAnsi="Arial" w:cs="Arial"/>
        </w:rPr>
        <w:t>E-</w:t>
      </w:r>
      <w:r w:rsidR="0072415F" w:rsidRPr="006D5F93">
        <w:rPr>
          <w:rFonts w:ascii="Arial" w:hAnsi="Arial" w:cs="Arial"/>
        </w:rPr>
        <w:t>7</w:t>
      </w:r>
      <w:r w:rsidR="006239CD" w:rsidRPr="006D5F93">
        <w:rPr>
          <w:rFonts w:ascii="Arial" w:hAnsi="Arial" w:cs="Arial"/>
        </w:rPr>
        <w:t xml:space="preserve">. </w:t>
      </w:r>
      <w:r w:rsidR="00281DFE" w:rsidRPr="006D5F93">
        <w:rPr>
          <w:rFonts w:ascii="Arial" w:hAnsi="Arial" w:cs="Arial"/>
        </w:rPr>
        <w:t>Final p</w:t>
      </w:r>
      <w:r w:rsidR="00E34DB7" w:rsidRPr="006D5F93">
        <w:rPr>
          <w:rFonts w:ascii="Arial" w:hAnsi="Arial" w:cs="Arial"/>
        </w:rPr>
        <w:t xml:space="preserve">eptide concentrations were </w:t>
      </w:r>
      <w:r w:rsidR="00C447AE" w:rsidRPr="006D5F93">
        <w:rPr>
          <w:rFonts w:ascii="Arial" w:hAnsi="Arial" w:cs="Arial"/>
        </w:rPr>
        <w:t xml:space="preserve">equalized to </w:t>
      </w:r>
      <w:r w:rsidR="004103B8" w:rsidRPr="006D5F93">
        <w:rPr>
          <w:rFonts w:ascii="Arial" w:hAnsi="Arial" w:cs="Arial"/>
        </w:rPr>
        <w:t>22</w:t>
      </w:r>
      <w:r w:rsidR="00C447AE" w:rsidRPr="006D5F93">
        <w:rPr>
          <w:rFonts w:ascii="Arial" w:hAnsi="Arial" w:cs="Arial"/>
        </w:rPr>
        <w:t xml:space="preserve"> </w:t>
      </w:r>
      <w:r w:rsidR="004103B8" w:rsidRPr="006D5F93">
        <w:rPr>
          <w:rFonts w:ascii="Arial" w:hAnsi="Arial" w:cs="Arial"/>
        </w:rPr>
        <w:t>n</w:t>
      </w:r>
      <w:r w:rsidR="00C447AE" w:rsidRPr="006D5F93">
        <w:rPr>
          <w:rFonts w:ascii="Arial" w:hAnsi="Arial" w:cs="Arial"/>
        </w:rPr>
        <w:t>g/</w:t>
      </w:r>
      <w:r w:rsidR="008D5614" w:rsidRPr="006D5F93">
        <w:rPr>
          <w:rFonts w:ascii="Arial" w:hAnsi="Arial" w:cs="Arial"/>
        </w:rPr>
        <w:sym w:font="Symbol" w:char="F06D"/>
      </w:r>
      <w:r w:rsidR="00C447AE" w:rsidRPr="006D5F93">
        <w:rPr>
          <w:rFonts w:ascii="Arial" w:hAnsi="Arial" w:cs="Arial"/>
        </w:rPr>
        <w:t>l</w:t>
      </w:r>
      <w:r w:rsidR="004103B8" w:rsidRPr="006D5F93">
        <w:rPr>
          <w:rFonts w:ascii="Arial" w:hAnsi="Arial" w:cs="Arial"/>
        </w:rPr>
        <w:t xml:space="preserve"> </w:t>
      </w:r>
      <w:r w:rsidR="00162E27" w:rsidRPr="006D5F93">
        <w:rPr>
          <w:rFonts w:ascii="Arial" w:hAnsi="Arial" w:cs="Arial"/>
        </w:rPr>
        <w:t>with</w:t>
      </w:r>
      <w:r w:rsidR="00D768E2" w:rsidRPr="006D5F93">
        <w:rPr>
          <w:rFonts w:ascii="Arial" w:hAnsi="Arial" w:cs="Arial"/>
        </w:rPr>
        <w:t xml:space="preserve"> solvent </w:t>
      </w:r>
      <w:r w:rsidR="00281DFE" w:rsidRPr="006D5F93">
        <w:rPr>
          <w:rFonts w:ascii="Arial" w:hAnsi="Arial" w:cs="Arial"/>
        </w:rPr>
        <w:t xml:space="preserve">and 4.5 </w:t>
      </w:r>
      <w:r w:rsidR="00162E27" w:rsidRPr="006D5F93">
        <w:rPr>
          <w:rFonts w:ascii="Arial" w:hAnsi="Arial" w:cs="Arial"/>
        </w:rPr>
        <w:sym w:font="Symbol" w:char="F06D"/>
      </w:r>
      <w:r w:rsidR="00281DFE" w:rsidRPr="006D5F93">
        <w:rPr>
          <w:rFonts w:ascii="Arial" w:hAnsi="Arial" w:cs="Arial"/>
        </w:rPr>
        <w:t xml:space="preserve">l (100 ng) </w:t>
      </w:r>
      <w:r w:rsidR="006F02A6" w:rsidRPr="006D5F93">
        <w:rPr>
          <w:rFonts w:ascii="Arial" w:hAnsi="Arial" w:cs="Arial"/>
        </w:rPr>
        <w:t xml:space="preserve">injections </w:t>
      </w:r>
      <w:r w:rsidR="00281DFE" w:rsidRPr="006D5F93">
        <w:rPr>
          <w:rFonts w:ascii="Arial" w:hAnsi="Arial" w:cs="Arial"/>
        </w:rPr>
        <w:t xml:space="preserve">were </w:t>
      </w:r>
      <w:r w:rsidR="006F02A6" w:rsidRPr="006D5F93">
        <w:rPr>
          <w:rFonts w:ascii="Arial" w:hAnsi="Arial" w:cs="Arial"/>
        </w:rPr>
        <w:t>used</w:t>
      </w:r>
      <w:r w:rsidR="00355F73" w:rsidRPr="006D5F93">
        <w:rPr>
          <w:rFonts w:ascii="Arial" w:hAnsi="Arial" w:cs="Arial"/>
        </w:rPr>
        <w:t xml:space="preserve"> </w:t>
      </w:r>
      <w:r w:rsidR="00D34DAC" w:rsidRPr="006D5F93">
        <w:rPr>
          <w:rFonts w:ascii="Arial" w:hAnsi="Arial" w:cs="Arial"/>
        </w:rPr>
        <w:t>for LC-MS/MS analysis</w:t>
      </w:r>
      <w:r w:rsidR="003E1ADA" w:rsidRPr="006D5F93">
        <w:rPr>
          <w:rFonts w:ascii="Arial" w:hAnsi="Arial" w:cs="Arial"/>
        </w:rPr>
        <w:t>.</w:t>
      </w:r>
    </w:p>
    <w:sdt>
      <w:sdtPr>
        <w:rPr>
          <w:rFonts w:ascii="Arial" w:hAnsi="Arial" w:cs="Arial"/>
        </w:rPr>
        <w:tag w:val="MENDELEY_BIBLIOGRAPHY"/>
        <w:id w:val="-785964344"/>
        <w:placeholder>
          <w:docPart w:val="DefaultPlaceholder_-1854013440"/>
        </w:placeholder>
      </w:sdtPr>
      <w:sdtContent>
        <w:p w14:paraId="2D7DA991" w14:textId="77777777" w:rsidR="004E5C75" w:rsidRPr="004E5C75" w:rsidRDefault="004E5C75">
          <w:pPr>
            <w:autoSpaceDE w:val="0"/>
            <w:autoSpaceDN w:val="0"/>
            <w:ind w:hanging="480"/>
            <w:divId w:val="472986423"/>
            <w:rPr>
              <w:rFonts w:ascii="Arial" w:eastAsia="Times New Roman" w:hAnsi="Arial" w:cs="Arial"/>
              <w:sz w:val="24"/>
              <w:szCs w:val="24"/>
            </w:rPr>
          </w:pPr>
          <w:proofErr w:type="spellStart"/>
          <w:r w:rsidRPr="004E5C75">
            <w:rPr>
              <w:rFonts w:ascii="Arial" w:eastAsia="Times New Roman" w:hAnsi="Arial" w:cs="Arial"/>
            </w:rPr>
            <w:t>Brademan</w:t>
          </w:r>
          <w:proofErr w:type="spellEnd"/>
          <w:r w:rsidRPr="004E5C75">
            <w:rPr>
              <w:rFonts w:ascii="Arial" w:eastAsia="Times New Roman" w:hAnsi="Arial" w:cs="Arial"/>
            </w:rPr>
            <w:t xml:space="preserve">, D. R., Riley, N. M., </w:t>
          </w:r>
          <w:proofErr w:type="spellStart"/>
          <w:r w:rsidRPr="004E5C75">
            <w:rPr>
              <w:rFonts w:ascii="Arial" w:eastAsia="Times New Roman" w:hAnsi="Arial" w:cs="Arial"/>
            </w:rPr>
            <w:t>Kwiecien</w:t>
          </w:r>
          <w:proofErr w:type="spellEnd"/>
          <w:r w:rsidRPr="004E5C75">
            <w:rPr>
              <w:rFonts w:ascii="Arial" w:eastAsia="Times New Roman" w:hAnsi="Arial" w:cs="Arial"/>
            </w:rPr>
            <w:t xml:space="preserve">, N. W., &amp; Coon, J. J. (2019). Interactive Peptide Spectral Annotator: A Versatile Web-based Tool for Proteomic Applications. </w:t>
          </w:r>
          <w:r w:rsidRPr="004E5C75">
            <w:rPr>
              <w:rFonts w:ascii="Arial" w:eastAsia="Times New Roman" w:hAnsi="Arial" w:cs="Arial"/>
              <w:i/>
              <w:iCs/>
            </w:rPr>
            <w:t xml:space="preserve">Molecular &amp; Cellular </w:t>
          </w:r>
          <w:proofErr w:type="gramStart"/>
          <w:r w:rsidRPr="004E5C75">
            <w:rPr>
              <w:rFonts w:ascii="Arial" w:eastAsia="Times New Roman" w:hAnsi="Arial" w:cs="Arial"/>
              <w:i/>
              <w:iCs/>
            </w:rPr>
            <w:t>Proteomics :</w:t>
          </w:r>
          <w:proofErr w:type="gramEnd"/>
          <w:r w:rsidRPr="004E5C75">
            <w:rPr>
              <w:rFonts w:ascii="Arial" w:eastAsia="Times New Roman" w:hAnsi="Arial" w:cs="Arial"/>
              <w:i/>
              <w:iCs/>
            </w:rPr>
            <w:t xml:space="preserve"> MCP</w:t>
          </w:r>
          <w:r w:rsidRPr="004E5C75">
            <w:rPr>
              <w:rFonts w:ascii="Arial" w:eastAsia="Times New Roman" w:hAnsi="Arial" w:cs="Arial"/>
            </w:rPr>
            <w:t xml:space="preserve">, </w:t>
          </w:r>
          <w:r w:rsidRPr="004E5C75">
            <w:rPr>
              <w:rFonts w:ascii="Arial" w:eastAsia="Times New Roman" w:hAnsi="Arial" w:cs="Arial"/>
              <w:i/>
              <w:iCs/>
            </w:rPr>
            <w:t>18</w:t>
          </w:r>
          <w:r w:rsidRPr="004E5C75">
            <w:rPr>
              <w:rFonts w:ascii="Arial" w:eastAsia="Times New Roman" w:hAnsi="Arial" w:cs="Arial"/>
            </w:rPr>
            <w:t>(8 suppl 1), S193–S201. https://doi.org/10.1074/MCP.TIR118.001209</w:t>
          </w:r>
        </w:p>
        <w:p w14:paraId="48DEDA0B" w14:textId="77777777" w:rsidR="004E5C75" w:rsidRPr="004E5C75" w:rsidRDefault="004E5C75">
          <w:pPr>
            <w:autoSpaceDE w:val="0"/>
            <w:autoSpaceDN w:val="0"/>
            <w:ind w:hanging="480"/>
            <w:divId w:val="1275209294"/>
            <w:rPr>
              <w:rFonts w:ascii="Arial" w:eastAsia="Times New Roman" w:hAnsi="Arial" w:cs="Arial"/>
            </w:rPr>
          </w:pPr>
          <w:r w:rsidRPr="004E5C75">
            <w:rPr>
              <w:rFonts w:ascii="Arial" w:eastAsia="Times New Roman" w:hAnsi="Arial" w:cs="Arial"/>
            </w:rPr>
            <w:t xml:space="preserve">Lund, P. J., Kori, Y., Zhao, X., </w:t>
          </w:r>
          <w:proofErr w:type="spellStart"/>
          <w:r w:rsidRPr="004E5C75">
            <w:rPr>
              <w:rFonts w:ascii="Arial" w:eastAsia="Times New Roman" w:hAnsi="Arial" w:cs="Arial"/>
            </w:rPr>
            <w:t>Sidoli</w:t>
          </w:r>
          <w:proofErr w:type="spellEnd"/>
          <w:r w:rsidRPr="004E5C75">
            <w:rPr>
              <w:rFonts w:ascii="Arial" w:eastAsia="Times New Roman" w:hAnsi="Arial" w:cs="Arial"/>
            </w:rPr>
            <w:t xml:space="preserve">, S., Yuan, Z. F., &amp; Garcia, B. A. (2019). Isotopic labeling and quantitative proteomics of acetylation on histones and beyond. </w:t>
          </w:r>
          <w:r w:rsidRPr="004E5C75">
            <w:rPr>
              <w:rFonts w:ascii="Arial" w:eastAsia="Times New Roman" w:hAnsi="Arial" w:cs="Arial"/>
              <w:i/>
              <w:iCs/>
            </w:rPr>
            <w:t>Methods in Molecular Biology</w:t>
          </w:r>
          <w:r w:rsidRPr="004E5C75">
            <w:rPr>
              <w:rFonts w:ascii="Arial" w:eastAsia="Times New Roman" w:hAnsi="Arial" w:cs="Arial"/>
            </w:rPr>
            <w:t xml:space="preserve">, </w:t>
          </w:r>
          <w:r w:rsidRPr="004E5C75">
            <w:rPr>
              <w:rFonts w:ascii="Arial" w:eastAsia="Times New Roman" w:hAnsi="Arial" w:cs="Arial"/>
              <w:i/>
              <w:iCs/>
            </w:rPr>
            <w:t>1977</w:t>
          </w:r>
          <w:r w:rsidRPr="004E5C75">
            <w:rPr>
              <w:rFonts w:ascii="Arial" w:eastAsia="Times New Roman" w:hAnsi="Arial" w:cs="Arial"/>
            </w:rPr>
            <w:t>, 43–70. https://doi.org/10.1007/978-1-4939-9232-4_5</w:t>
          </w:r>
        </w:p>
        <w:p w14:paraId="58C6AC32" w14:textId="285FC4F2" w:rsidR="004E5C75" w:rsidRPr="004E5C75" w:rsidRDefault="004E5C75" w:rsidP="000E5202">
          <w:pPr>
            <w:jc w:val="both"/>
            <w:rPr>
              <w:rFonts w:ascii="Arial" w:hAnsi="Arial" w:cs="Arial"/>
            </w:rPr>
          </w:pPr>
          <w:r w:rsidRPr="004E5C75">
            <w:rPr>
              <w:rFonts w:ascii="Arial" w:eastAsia="Times New Roman" w:hAnsi="Arial" w:cs="Arial"/>
            </w:rPr>
            <w:t> </w:t>
          </w:r>
        </w:p>
      </w:sdtContent>
    </w:sdt>
    <w:sectPr w:rsidR="004E5C75" w:rsidRPr="004E5C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64D"/>
    <w:rsid w:val="00057A66"/>
    <w:rsid w:val="00063B20"/>
    <w:rsid w:val="00081377"/>
    <w:rsid w:val="000A3916"/>
    <w:rsid w:val="000C30B7"/>
    <w:rsid w:val="000E5202"/>
    <w:rsid w:val="000E78CB"/>
    <w:rsid w:val="00110530"/>
    <w:rsid w:val="001603FB"/>
    <w:rsid w:val="00162E27"/>
    <w:rsid w:val="00192A54"/>
    <w:rsid w:val="001A2F66"/>
    <w:rsid w:val="001C3421"/>
    <w:rsid w:val="001E69D9"/>
    <w:rsid w:val="001F16AB"/>
    <w:rsid w:val="00281DFE"/>
    <w:rsid w:val="002B4F37"/>
    <w:rsid w:val="002E7039"/>
    <w:rsid w:val="003015FB"/>
    <w:rsid w:val="003403FB"/>
    <w:rsid w:val="00343D7B"/>
    <w:rsid w:val="00355F73"/>
    <w:rsid w:val="003763EE"/>
    <w:rsid w:val="00377C0B"/>
    <w:rsid w:val="0038281C"/>
    <w:rsid w:val="003C0318"/>
    <w:rsid w:val="003C0DC3"/>
    <w:rsid w:val="003E1ADA"/>
    <w:rsid w:val="004103B8"/>
    <w:rsid w:val="00423C26"/>
    <w:rsid w:val="00434FDF"/>
    <w:rsid w:val="004524C5"/>
    <w:rsid w:val="004A7FFD"/>
    <w:rsid w:val="004E5C75"/>
    <w:rsid w:val="00506508"/>
    <w:rsid w:val="0054435D"/>
    <w:rsid w:val="005926A7"/>
    <w:rsid w:val="00623907"/>
    <w:rsid w:val="006239CD"/>
    <w:rsid w:val="00657EE2"/>
    <w:rsid w:val="006D5F93"/>
    <w:rsid w:val="006F02A6"/>
    <w:rsid w:val="0072415F"/>
    <w:rsid w:val="0074664D"/>
    <w:rsid w:val="00760265"/>
    <w:rsid w:val="00785D2E"/>
    <w:rsid w:val="007C4895"/>
    <w:rsid w:val="007F37D3"/>
    <w:rsid w:val="008C431F"/>
    <w:rsid w:val="008C51C9"/>
    <w:rsid w:val="008D5614"/>
    <w:rsid w:val="009044C2"/>
    <w:rsid w:val="0092642E"/>
    <w:rsid w:val="00963C4D"/>
    <w:rsid w:val="0098015E"/>
    <w:rsid w:val="009822B8"/>
    <w:rsid w:val="009A77B2"/>
    <w:rsid w:val="009C0C11"/>
    <w:rsid w:val="00A02C10"/>
    <w:rsid w:val="00A1627F"/>
    <w:rsid w:val="00A2360A"/>
    <w:rsid w:val="00A257C8"/>
    <w:rsid w:val="00A41884"/>
    <w:rsid w:val="00A50B07"/>
    <w:rsid w:val="00A84319"/>
    <w:rsid w:val="00AA538A"/>
    <w:rsid w:val="00AA6AE2"/>
    <w:rsid w:val="00B00A8C"/>
    <w:rsid w:val="00B31888"/>
    <w:rsid w:val="00B87172"/>
    <w:rsid w:val="00C36655"/>
    <w:rsid w:val="00C447AE"/>
    <w:rsid w:val="00C47C3F"/>
    <w:rsid w:val="00CC1A01"/>
    <w:rsid w:val="00D34DAC"/>
    <w:rsid w:val="00D47C25"/>
    <w:rsid w:val="00D768E2"/>
    <w:rsid w:val="00D93BA5"/>
    <w:rsid w:val="00DC79DF"/>
    <w:rsid w:val="00E27C23"/>
    <w:rsid w:val="00E34DB7"/>
    <w:rsid w:val="00EF74EE"/>
    <w:rsid w:val="00F11CB8"/>
    <w:rsid w:val="00F36AB5"/>
    <w:rsid w:val="00F80C1F"/>
    <w:rsid w:val="00F9474F"/>
    <w:rsid w:val="00FB30C9"/>
    <w:rsid w:val="00FD552E"/>
    <w:rsid w:val="00FE48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9038E"/>
  <w15:chartTrackingRefBased/>
  <w15:docId w15:val="{73AE3521-6DB2-42A3-9472-0CE6611A6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D5F9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693418">
      <w:bodyDiv w:val="1"/>
      <w:marLeft w:val="0"/>
      <w:marRight w:val="0"/>
      <w:marTop w:val="0"/>
      <w:marBottom w:val="0"/>
      <w:divBdr>
        <w:top w:val="none" w:sz="0" w:space="0" w:color="auto"/>
        <w:left w:val="none" w:sz="0" w:space="0" w:color="auto"/>
        <w:bottom w:val="none" w:sz="0" w:space="0" w:color="auto"/>
        <w:right w:val="none" w:sz="0" w:space="0" w:color="auto"/>
      </w:divBdr>
      <w:divsChild>
        <w:div w:id="472986423">
          <w:marLeft w:val="480"/>
          <w:marRight w:val="0"/>
          <w:marTop w:val="0"/>
          <w:marBottom w:val="0"/>
          <w:divBdr>
            <w:top w:val="none" w:sz="0" w:space="0" w:color="auto"/>
            <w:left w:val="none" w:sz="0" w:space="0" w:color="auto"/>
            <w:bottom w:val="none" w:sz="0" w:space="0" w:color="auto"/>
            <w:right w:val="none" w:sz="0" w:space="0" w:color="auto"/>
          </w:divBdr>
        </w:div>
        <w:div w:id="1275209294">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8F48A9CA-4FAF-40A9-BD09-8C73A2B912AE}"/>
      </w:docPartPr>
      <w:docPartBody>
        <w:p w:rsidR="00CB0FB7" w:rsidRDefault="00F13965">
          <w:r w:rsidRPr="009E20A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587"/>
    <w:rsid w:val="008356F1"/>
    <w:rsid w:val="00CB0FB7"/>
    <w:rsid w:val="00E00587"/>
    <w:rsid w:val="00F13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768F20E6A8F4BECBBEF285708631050">
    <w:name w:val="3768F20E6A8F4BECBBEF285708631050"/>
    <w:rsid w:val="00E00587"/>
  </w:style>
  <w:style w:type="character" w:styleId="PlaceholderText">
    <w:name w:val="Placeholder Text"/>
    <w:basedOn w:val="DefaultParagraphFont"/>
    <w:uiPriority w:val="99"/>
    <w:semiHidden/>
    <w:rsid w:val="00F1396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08D77A1-40D5-42A2-9D4D-FE4E2396F40F}">
  <we:reference id="wa104382081" version="1.46.0.0" store="en-US" storeType="OMEX"/>
  <we:alternateReferences>
    <we:reference id="wa104382081" version="1.46.0.0" store="" storeType="OMEX"/>
  </we:alternateReferences>
  <we:properties>
    <we:property name="MENDELEY_CITATIONS" value="[{&quot;citationID&quot;:&quot;MENDELEY_CITATION_5250c12a-d00d-4db2-b029-402f4bc42b4a&quot;,&quot;properties&quot;:{&quot;noteIndex&quot;:0},&quot;isEdited&quot;:false,&quot;manualOverride&quot;:{&quot;isManuallyOverridden&quot;:false,&quot;citeprocText&quot;:&quot;(Lund et al., 2019)&quot;,&quot;manualOverrideText&quot;:&quot;&quot;},&quot;citationTag&quot;:&quot;MENDELEY_CITATION_v3_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&quot;,&quot;citationItems&quot;:[{&quot;id&quot;:&quot;c8e98da1-6eac-35ba-b032-b9291fb996b9&quot;,&quot;itemData&quot;:{&quot;type&quot;:&quot;article-journal&quot;,&quot;id&quot;:&quot;c8e98da1-6eac-35ba-b032-b9291fb996b9&quot;,&quot;title&quot;:&quot;Isotopic labeling and quantitative proteomics of acetylation on histones and beyond&quot;,&quot;author&quot;:[{&quot;family&quot;:&quot;Lund&quot;,&quot;given&quot;:&quot;Peder J&quot;,&quot;parse-names&quot;:false,&quot;dropping-particle&quot;:&quot;&quot;,&quot;non-dropping-particle&quot;:&quot;&quot;},{&quot;family&quot;:&quot;Kori&quot;,&quot;given&quot;:&quot;Yekaterina&quot;,&quot;parse-names&quot;:false,&quot;dropping-particle&quot;:&quot;&quot;,&quot;non-dropping-particle&quot;:&quot;&quot;},{&quot;family&quot;:&quot;Zhao&quot;,&quot;given&quot;:&quot;Xiaolu&quot;,&quot;parse-names&quot;:false,&quot;dropping-particle&quot;:&quot;&quot;,&quot;non-dropping-particle&quot;:&quot;&quot;},{&quot;family&quot;:&quot;Sidoli&quot;,&quot;given&quot;:&quot;Simone&quot;,&quot;parse-names&quot;:false,&quot;dropping-particle&quot;:&quot;&quot;,&quot;non-dropping-particle&quot;:&quot;&quot;},{&quot;family&quot;:&quot;Yuan&quot;,&quot;given&quot;:&quot;Zuo Fei&quot;,&quot;parse-names&quot;:false,&quot;dropping-particle&quot;:&quot;&quot;,&quot;non-dropping-particle&quot;:&quot;&quot;},{&quot;family&quot;:&quot;Garcia&quot;,&quot;given&quot;:&quot;Benjamin A&quot;,&quot;parse-names&quot;:false,&quot;dropping-particle&quot;:&quot;&quot;,&quot;non-dropping-particle&quot;:&quot;&quot;}],&quot;container-title&quot;:&quot;Methods in Molecular Biology&quot;,&quot;DOI&quot;:&quot;10.1007/978-1-4939-9232-4_5&quot;,&quot;ISSN&quot;:&quot;19406029&quot;,&quot;PMID&quot;:&quot;30980322&quot;,&quot;URL&quot;:&quot;https://pubmed.ncbi.nlm.nih.gov/30980322/&quot;,&quot;issued&quot;:{&quot;date-parts&quot;:[[2019]]},&quot;page&quot;:&quot;43-70&quot;,&quot;abstract&quot;:&quot;Lysine acetylation is an important posttranslational modification (PTM) that regulates the function of proteins by affecting their localization, stability, binding, and enzymatic activity. Aberrant acetylation patterns have been observed in numerous diseases, most notably cancer, which has spurred the development of potential therapeutics that target acetylation pathways. Mass spectrometry (MS) has become the most adopted tool not only for the qualitative identification of acetylation sites but also for their large-scale quantification. By using heavy isotope labeling in cell culture combined with MS, it is now possible to accurately quantify newly synthesized acetyl groups and other PTMs, allowing differentiation between dynamically regulated and steady-state modifications. Here, we describe MS-based protocols to identify acetylation sites and quantify acetylation rates on both proteins in general and in the special case of histones. In the experimental approach for the former, 13C-glucose and D3-acetate are used to metabolically label protein acetylation in cells with stable isotopes, thus allowing isotope incorporation to be tracked over time. After protein extraction and digestion, acetylated peptides are enriched via immunoprecipitation and then analyzed by MS. For histones, a similar metabolic labeling approach is performed, followed by acid extraction, derivatization with propionic anhydride, and trypsin digestion prior to MS analysis. The procedures presented may be adapted to investigate acetylation dynamics in a broad range of experimental contexts, including different cell types and stimulation conditions.&quot;,&quot;publisher&quot;:&quot;Humana Press Inc.&quot;,&quot;volume&quot;:&quot;1977&quot;},&quot;isTemporary&quot;:false}]},{&quot;citationID&quot;:&quot;MENDELEY_CITATION_97fed70f-a234-483d-8b01-7dcc678c2f3b&quot;,&quot;properties&quot;:{&quot;noteIndex&quot;:0},&quot;isEdited&quot;:false,&quot;manualOverride&quot;:{&quot;isManuallyOverridden&quot;:false,&quot;citeprocText&quot;:&quot;(Brademan et al., 2019)&quot;,&quot;manualOverrideText&quot;:&quot;&quot;},&quot;citationTag&quot;:&quot;MENDELEY_CITATION_v3_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&quot;,&quot;citationItems&quot;:[{&quot;id&quot;:&quot;47416d43-4b0f-36d4-9456-1497a22c4bfe&quot;,&quot;itemData&quot;:{&quot;type&quot;:&quot;article-journal&quot;,&quot;id&quot;:&quot;47416d43-4b0f-36d4-9456-1497a22c4bfe&quot;,&quot;title&quot;:&quot;Interactive Peptide Spectral Annotator: A Versatile Web-based Tool for Proteomic Applications&quot;,&quot;author&quot;:[{&quot;family&quot;:&quot;Brademan&quot;,&quot;given&quot;:&quot;Dain R.&quot;,&quot;parse-names&quot;:false,&quot;dropping-particle&quot;:&quot;&quot;,&quot;non-dropping-particle&quot;:&quot;&quot;},{&quot;family&quot;:&quot;Riley&quot;,&quot;given&quot;:&quot;Nicholas M.&quot;,&quot;parse-names&quot;:false,&quot;dropping-particle&quot;:&quot;&quot;,&quot;non-dropping-particle&quot;:&quot;&quot;},{&quot;family&quot;:&quot;Kwiecien&quot;,&quot;given&quot;:&quot;Nicholas W.&quot;,&quot;parse-names&quot;:false,&quot;dropping-particle&quot;:&quot;&quot;,&quot;non-dropping-particle&quot;:&quot;&quot;},{&quot;family&quot;:&quot;Coon&quot;,&quot;given&quot;:&quot;Joshua J.&quot;,&quot;parse-names&quot;:false,&quot;dropping-particle&quot;:&quot;&quot;,&quot;non-dropping-particle&quot;:&quot;&quot;}],&quot;container-title&quot;:&quot;Molecular &amp; cellular proteomics : MCP&quot;,&quot;container-title-short&quot;:&quot;Mol Cell Proteomics&quot;,&quot;accessed&quot;:{&quot;date-parts&quot;:[[2022,10,24]]},&quot;DOI&quot;:&quot;10.1074/MCP.TIR118.001209&quot;,&quot;ISSN&quot;:&quot;1535-9484&quot;,&quot;PMID&quot;:&quot;31088857&quot;,&quot;URL&quot;:&quot;https://pubmed.ncbi.nlm.nih.gov/31088857/&quot;,&quot;issued&quot;:{&quot;date-parts&quot;:[[2019]]},&quot;page&quot;:&quot;S193-S201&quot;,&quot;abstract&quot;:&quot;Here we present IPSA, an innovative web-based spectrum annotator that visualizes and characterizes peptide tandem mass spectra. A tool for the scientific community, IPSA can visualize peptides collected using a wide variety of experimental and instrumental configurations. Annotated spectra are customizable via a selection of interactive features and can be exported as editable scalable vector graphics to aid in the production of publicationquality figures. Single spectra can be analyzed through provided web forms, whereas data for multiple peptide spectral matches can be uploaded using the Proteomics Standards Initiative file formats mzTab, mzIdentML, and mzML. Alternatively, peptide identifications and spectral data can be provided using generic file formats. IPSA provides supports for annotating spectra collecting using negative-mode ionization and facilitates the characterization of experimental MS/MS performance through the optional export of fragment ion statistics from one to many peptide spectral matches. This resource is made freely accessible at http://interactivepeptidespectralannotator. com, whereas the source code and user guides are available at https://github.com/coongroup/IPSA for private hosting or custom implementations.&quot;,&quot;publisher&quot;:&quot;Mol Cell Proteomics&quot;,&quot;issue&quot;:&quot;8 suppl 1&quot;,&quot;volume&quot;:&quot;18&quot;},&quot;isTemporary&quot;:false}]}]"/>
    <we:property name="MENDELEY_CITATIONS_STYLE" value="{&quot;id&quot;:&quot;https://www.zotero.org/styles/apa&quot;,&quot;title&quot;:&quot;American Psychological Association 7th edition&quot;,&quot;format&quot;:&quot;author-date&quot;,&quot;defaultLocale&quot;:null}"/>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1CE07-5DBE-454B-A664-B9DAC4E40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658</Words>
  <Characters>3755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Peder Lund</dc:creator>
  <cp:keywords/>
  <dc:description/>
  <cp:lastModifiedBy>Peder Lund</cp:lastModifiedBy>
  <cp:revision>16</cp:revision>
  <dcterms:created xsi:type="dcterms:W3CDTF">2022-10-25T19:01:00Z</dcterms:created>
  <dcterms:modified xsi:type="dcterms:W3CDTF">2022-10-25T19:14:00Z</dcterms:modified>
</cp:coreProperties>
</file>