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DFCFA8" w14:textId="77777777" w:rsidR="005D4F4C" w:rsidRPr="005D4F4C" w:rsidRDefault="005D4F4C" w:rsidP="005D4F4C">
      <w:pPr>
        <w:rPr>
          <w:rFonts w:ascii="Times New Roman" w:eastAsia="Times New Roman" w:hAnsi="Times New Roman" w:cs="Times New Roman"/>
          <w:lang w:eastAsia="en-GB"/>
        </w:rPr>
      </w:pPr>
      <w:r w:rsidRPr="005D4F4C">
        <w:rPr>
          <w:rFonts w:ascii="Arial" w:eastAsia="Times New Roman" w:hAnsi="Arial" w:cs="Arial"/>
          <w:b/>
          <w:bCs/>
          <w:color w:val="000000"/>
          <w:sz w:val="22"/>
          <w:szCs w:val="22"/>
          <w:lang w:eastAsia="en-GB"/>
        </w:rPr>
        <w:t xml:space="preserve">Enrichment and digest of biotinylated proteins on AssayMap Bravo. </w:t>
      </w:r>
      <w:r w:rsidRPr="005D4F4C">
        <w:rPr>
          <w:rFonts w:ascii="Arial" w:eastAsia="Times New Roman" w:hAnsi="Arial" w:cs="Arial"/>
          <w:color w:val="000000"/>
          <w:sz w:val="22"/>
          <w:szCs w:val="22"/>
          <w:lang w:eastAsia="en-GB"/>
        </w:rPr>
        <w:t>For each replicate 4, 8 or 20 Mio. cells were resuspended in 250, 500 µl  or 1 ml lysis buffer (</w:t>
      </w:r>
      <w:r w:rsidRPr="005D4F4C">
        <w:rPr>
          <w:rFonts w:ascii="Arial" w:eastAsia="Times New Roman" w:hAnsi="Arial" w:cs="Arial"/>
          <w:color w:val="191919"/>
          <w:sz w:val="22"/>
          <w:szCs w:val="22"/>
          <w:shd w:val="clear" w:color="auto" w:fill="FFFFFF"/>
          <w:lang w:eastAsia="en-GB"/>
        </w:rPr>
        <w:t xml:space="preserve">50 mM Tris pH 7.5; 150 mM NaCl; 1 mM EDTA; 1mM EGTA; 1% (v/v) Triton 0; 1 mg/ml aprotinin; 0.5 mg/ml leupeptin; 250 U turbonuclease; 0.1% (w/v) SDS) and incubated for 1 h at 4°C. For each step a modified version of the On-Cartridge protocol was used. For the acetylation of the streptavidin cartridges and the subsequent loading of the lysates, the protocol was modified as follows: Cartridges were equilibrated with 200 µl PBS (10 µl/min). For each replicate 50 µl 10 mM sulfo-NHS acetate was used. Reaction was set to 6 µl, temperature 25°C and duration 30 min. Reaction Chase was 100 µl with a flow rate of 10 µl/min. Prior to loading cartridges were equilibrated using Internal Cartridge Wash 1, with </w:t>
      </w:r>
      <w:r w:rsidRPr="005D4F4C">
        <w:rPr>
          <w:rFonts w:ascii="Arial" w:eastAsia="Times New Roman" w:hAnsi="Arial" w:cs="Arial"/>
          <w:color w:val="191919"/>
          <w:sz w:val="22"/>
          <w:szCs w:val="22"/>
          <w:lang w:eastAsia="en-GB"/>
        </w:rPr>
        <w:t>200</w:t>
      </w:r>
      <w:r w:rsidRPr="005D4F4C">
        <w:rPr>
          <w:rFonts w:ascii="Arial" w:eastAsia="Times New Roman" w:hAnsi="Arial" w:cs="Arial"/>
          <w:color w:val="191919"/>
          <w:sz w:val="22"/>
          <w:szCs w:val="22"/>
          <w:shd w:val="clear" w:color="auto" w:fill="FFFFFF"/>
          <w:lang w:eastAsia="en-GB"/>
        </w:rPr>
        <w:t xml:space="preserve"> µl of lysis buffer (20 µl/min). Before and after equilibration, Cup Wash was used with default settings. Samples were loaded with a speed of 10 µl/min. Before LysC digestion cartridges were washed once with 200 µl lysis buffer and two times with 250 µl 50 mM ammonium bicarbonate (AmBic) (10 µl/min). For each digest 0.5 µg LysC was added to 30 µl 50 mM AmBic. Reaction was set to 6 µl volume, 45°C, 60 min with no Reaction Chase. Peptides were eluted in two steps (1x 25 µl and 1x 50 µl) 50 mM AmBic (</w:t>
      </w:r>
      <w:r w:rsidRPr="005D4F4C">
        <w:rPr>
          <w:rFonts w:ascii="Arial" w:eastAsia="Times New Roman" w:hAnsi="Arial" w:cs="Arial"/>
          <w:color w:val="191919"/>
          <w:sz w:val="22"/>
          <w:szCs w:val="22"/>
          <w:lang w:eastAsia="en-GB"/>
        </w:rPr>
        <w:t>no internal cup wash</w:t>
      </w:r>
      <w:r w:rsidRPr="005D4F4C">
        <w:rPr>
          <w:rFonts w:ascii="Arial" w:eastAsia="Times New Roman" w:hAnsi="Arial" w:cs="Arial"/>
          <w:color w:val="191919"/>
          <w:sz w:val="22"/>
          <w:szCs w:val="22"/>
          <w:shd w:val="clear" w:color="auto" w:fill="FFFFFF"/>
          <w:lang w:eastAsia="en-GB"/>
        </w:rPr>
        <w:t xml:space="preserve">, 10 µl/min). Trypsin (0.5 µg) was added to elution and incubated at 37°C overnight. Biotinylated peptides were eluted with two times 15 µl 10% TFA in acetonitrile (90 µl/min). </w:t>
      </w:r>
      <w:r w:rsidRPr="005D4F4C">
        <w:rPr>
          <w:rFonts w:ascii="Arial" w:eastAsia="Times New Roman" w:hAnsi="Arial" w:cs="Arial"/>
          <w:color w:val="191919"/>
          <w:sz w:val="22"/>
          <w:szCs w:val="22"/>
          <w:lang w:eastAsia="en-GB"/>
        </w:rPr>
        <w:t xml:space="preserve">Syringe was washed with 150 µl 20% acetonitrile. </w:t>
      </w:r>
      <w:r w:rsidRPr="005D4F4C">
        <w:rPr>
          <w:rFonts w:ascii="Arial" w:eastAsia="Times New Roman" w:hAnsi="Arial" w:cs="Arial"/>
          <w:color w:val="191919"/>
          <w:sz w:val="22"/>
          <w:szCs w:val="22"/>
          <w:shd w:val="clear" w:color="auto" w:fill="FFFFFF"/>
          <w:lang w:eastAsia="en-GB"/>
        </w:rPr>
        <w:t xml:space="preserve">Biotinylated peptide elution was dried and reconstituted in 50 µl 50 mM HEPES. The pH was tested and adjusted with sodium hydroxide to pH 6 - 8.0. Eluate was digested with 0.5 µg trypsin at 37°C overnight. Both elutions were cleaned up using </w:t>
      </w:r>
      <w:r w:rsidRPr="005D4F4C">
        <w:rPr>
          <w:rFonts w:ascii="Arial" w:eastAsia="Times New Roman" w:hAnsi="Arial" w:cs="Arial"/>
          <w:color w:val="000000"/>
          <w:sz w:val="22"/>
          <w:szCs w:val="22"/>
          <w:shd w:val="clear" w:color="auto" w:fill="FFFFFF"/>
          <w:lang w:eastAsia="en-GB"/>
        </w:rPr>
        <w:t>Waters Oasis® HLB μElution Plate 30 μm (Waters #186001828BA) according to the manufacturer’s instructions. </w:t>
      </w:r>
    </w:p>
    <w:p w14:paraId="6F2E35AC" w14:textId="77777777" w:rsidR="005D4F4C" w:rsidRPr="005D4F4C" w:rsidRDefault="005D4F4C" w:rsidP="005D4F4C">
      <w:pPr>
        <w:rPr>
          <w:rFonts w:ascii="Times New Roman" w:eastAsia="Times New Roman" w:hAnsi="Times New Roman" w:cs="Times New Roman"/>
          <w:lang w:eastAsia="en-GB"/>
        </w:rPr>
      </w:pPr>
      <w:r w:rsidRPr="005D4F4C">
        <w:rPr>
          <w:rFonts w:ascii="Arial" w:eastAsia="Times New Roman" w:hAnsi="Arial" w:cs="Arial"/>
          <w:b/>
          <w:bCs/>
          <w:color w:val="000000"/>
          <w:sz w:val="22"/>
          <w:szCs w:val="22"/>
          <w:lang w:eastAsia="en-GB"/>
        </w:rPr>
        <w:t xml:space="preserve">Manual enrichment and digest of biotinylated proteins. </w:t>
      </w:r>
      <w:r w:rsidRPr="005D4F4C">
        <w:rPr>
          <w:rFonts w:ascii="Arial" w:eastAsia="Times New Roman" w:hAnsi="Arial" w:cs="Arial"/>
          <w:color w:val="000000"/>
          <w:sz w:val="22"/>
          <w:szCs w:val="22"/>
          <w:lang w:eastAsia="en-GB"/>
        </w:rPr>
        <w:t>The</w:t>
      </w:r>
      <w:r w:rsidRPr="005D4F4C">
        <w:rPr>
          <w:rFonts w:ascii="Arial" w:eastAsia="Times New Roman" w:hAnsi="Arial" w:cs="Arial"/>
          <w:b/>
          <w:bCs/>
          <w:color w:val="000000"/>
          <w:sz w:val="22"/>
          <w:szCs w:val="22"/>
          <w:lang w:eastAsia="en-GB"/>
        </w:rPr>
        <w:t xml:space="preserve"> </w:t>
      </w:r>
      <w:r w:rsidRPr="005D4F4C">
        <w:rPr>
          <w:rFonts w:ascii="Arial" w:eastAsia="Times New Roman" w:hAnsi="Arial" w:cs="Arial"/>
          <w:color w:val="000000"/>
          <w:sz w:val="22"/>
          <w:szCs w:val="22"/>
          <w:lang w:eastAsia="en-GB"/>
        </w:rPr>
        <w:t xml:space="preserve">protocol </w:t>
      </w:r>
      <w:r w:rsidRPr="005D4F4C">
        <w:rPr>
          <w:rFonts w:ascii="Arial" w:eastAsia="Times New Roman" w:hAnsi="Arial" w:cs="Arial"/>
          <w:color w:val="000000"/>
          <w:sz w:val="22"/>
          <w:szCs w:val="22"/>
          <w:shd w:val="clear" w:color="auto" w:fill="FFFFFF"/>
          <w:lang w:eastAsia="en-GB"/>
        </w:rPr>
        <w:t xml:space="preserve">was used </w:t>
      </w:r>
      <w:r w:rsidRPr="005D4F4C">
        <w:rPr>
          <w:rFonts w:ascii="Arial" w:eastAsia="Times New Roman" w:hAnsi="Arial" w:cs="Arial"/>
          <w:color w:val="000000"/>
          <w:sz w:val="22"/>
          <w:szCs w:val="22"/>
          <w:lang w:eastAsia="en-GB"/>
        </w:rPr>
        <w:t xml:space="preserve">as described in Bartolome et al. </w:t>
      </w:r>
      <w:hyperlink r:id="rId4" w:history="1">
        <w:r w:rsidRPr="005D4F4C">
          <w:rPr>
            <w:rFonts w:ascii="Arial" w:eastAsia="Times New Roman" w:hAnsi="Arial" w:cs="Arial"/>
            <w:color w:val="000000"/>
            <w:sz w:val="13"/>
            <w:szCs w:val="13"/>
            <w:u w:val="single"/>
            <w:vertAlign w:val="superscript"/>
            <w:lang w:eastAsia="en-GB"/>
          </w:rPr>
          <w:t>24</w:t>
        </w:r>
      </w:hyperlink>
      <w:r w:rsidRPr="005D4F4C">
        <w:rPr>
          <w:rFonts w:ascii="Arial" w:eastAsia="Times New Roman" w:hAnsi="Arial" w:cs="Arial"/>
          <w:color w:val="000000"/>
          <w:sz w:val="22"/>
          <w:szCs w:val="22"/>
          <w:shd w:val="clear" w:color="auto" w:fill="FFFFFF"/>
          <w:lang w:eastAsia="en-GB"/>
        </w:rPr>
        <w:t>. In short, 20 Mio. cells were resuspended in 4.75 ml lysis buffer (see above) and incubated for 1 h at 4°C. Streptavidin Sepharose High Performance (GE Healthcare) were acetylated, by the addition of 10 mM sulfo-NHS acetate for 30 minutes twice. For each lysate 80 µl of equilibrated beads were used. Beads were washed 5 times with 600 µl 50 mM AmBic. On-bead digest was performed with 200 µl LysC (5 ng/µl) at 37°C overnight. First elution step was achieved using two times 150 µl of 50 mM AmBic. After pooling both fractions, peptides were further digested by adding 1 µg trypsin and incubating at 37</w:t>
      </w:r>
      <w:r w:rsidRPr="005D4F4C">
        <w:rPr>
          <w:rFonts w:ascii="Arial" w:eastAsia="Times New Roman" w:hAnsi="Arial" w:cs="Arial"/>
          <w:color w:val="191919"/>
          <w:sz w:val="22"/>
          <w:szCs w:val="22"/>
          <w:shd w:val="clear" w:color="auto" w:fill="FFFFFF"/>
          <w:lang w:eastAsia="en-GB"/>
        </w:rPr>
        <w:t xml:space="preserve">°C for 3 h. </w:t>
      </w:r>
      <w:r w:rsidRPr="005D4F4C">
        <w:rPr>
          <w:rFonts w:ascii="Arial" w:eastAsia="Times New Roman" w:hAnsi="Arial" w:cs="Arial"/>
          <w:color w:val="000000"/>
          <w:sz w:val="22"/>
          <w:szCs w:val="22"/>
          <w:shd w:val="clear" w:color="auto" w:fill="FFFFFF"/>
          <w:lang w:eastAsia="en-GB"/>
        </w:rPr>
        <w:t>Biotinylated peptides were eluted using two times 150 µl 20% TFA in acetonitrile. Both fractions were pooled and neutralised to pH 8.0 by adding 50 µl 200 mM HEPES and sodium hydroxide as necessary. Peptides were digested through the addition of 1 µg trypsin at 37</w:t>
      </w:r>
      <w:r w:rsidRPr="005D4F4C">
        <w:rPr>
          <w:rFonts w:ascii="Arial" w:eastAsia="Times New Roman" w:hAnsi="Arial" w:cs="Arial"/>
          <w:color w:val="191919"/>
          <w:sz w:val="22"/>
          <w:szCs w:val="22"/>
          <w:shd w:val="clear" w:color="auto" w:fill="FFFFFF"/>
          <w:lang w:eastAsia="en-GB"/>
        </w:rPr>
        <w:t xml:space="preserve">°C for 3 h. Both elutions were desalted using </w:t>
      </w:r>
      <w:r w:rsidRPr="005D4F4C">
        <w:rPr>
          <w:rFonts w:ascii="Arial" w:eastAsia="Times New Roman" w:hAnsi="Arial" w:cs="Arial"/>
          <w:color w:val="000000"/>
          <w:sz w:val="22"/>
          <w:szCs w:val="22"/>
          <w:shd w:val="clear" w:color="auto" w:fill="FFFFFF"/>
          <w:lang w:eastAsia="en-GB"/>
        </w:rPr>
        <w:t>Waters Oasis® HLB μElution Plate 30 μm (Waters #186001828BA) according to the manufacturer’s instructions. </w:t>
      </w:r>
    </w:p>
    <w:p w14:paraId="5ACDF8ED" w14:textId="77777777" w:rsidR="005D4F4C" w:rsidRPr="005D4F4C" w:rsidRDefault="005D4F4C" w:rsidP="005D4F4C">
      <w:pPr>
        <w:rPr>
          <w:rFonts w:ascii="Times New Roman" w:eastAsia="Times New Roman" w:hAnsi="Times New Roman" w:cs="Times New Roman"/>
          <w:lang w:eastAsia="en-GB"/>
        </w:rPr>
      </w:pPr>
    </w:p>
    <w:p w14:paraId="2AD3763D" w14:textId="77777777" w:rsidR="005D4F4C" w:rsidRPr="005D4F4C" w:rsidRDefault="005D4F4C" w:rsidP="005D4F4C">
      <w:pPr>
        <w:rPr>
          <w:rFonts w:ascii="Times New Roman" w:eastAsia="Times New Roman" w:hAnsi="Times New Roman" w:cs="Times New Roman"/>
          <w:lang w:eastAsia="en-GB"/>
        </w:rPr>
      </w:pPr>
      <w:r w:rsidRPr="005D4F4C">
        <w:rPr>
          <w:rFonts w:ascii="Arial" w:eastAsia="Times New Roman" w:hAnsi="Arial" w:cs="Arial"/>
          <w:b/>
          <w:bCs/>
          <w:color w:val="000000"/>
          <w:sz w:val="22"/>
          <w:szCs w:val="22"/>
          <w:lang w:eastAsia="en-GB"/>
        </w:rPr>
        <w:t>LC-MS analysis.</w:t>
      </w:r>
      <w:r w:rsidRPr="005D4F4C">
        <w:rPr>
          <w:rFonts w:ascii="Arial" w:eastAsia="Times New Roman" w:hAnsi="Arial" w:cs="Arial"/>
          <w:color w:val="191919"/>
          <w:sz w:val="22"/>
          <w:szCs w:val="22"/>
          <w:shd w:val="clear" w:color="auto" w:fill="FFFFFF"/>
          <w:lang w:eastAsia="en-GB"/>
        </w:rPr>
        <w:t xml:space="preserve"> For in-depth proteomics analysis, approximately 1μg of reconstituted peptides were separated using a nanoAcquity UPLC (Waters, Milford, MA) coupled online to the MS. Peptide mixtures were separated in trap/elute mode, using a trapping (Waters nanoEase M/Z Symmetry C18, 5μm, 180 μm x 20 mm) and an analytical column (Waters nanoEase M/Z Peptide C18, 1.7μm, 75μm x 250mm). The outlet of the analytical column was coupled directly to an Orbitrap Fusion Lumos mass spectrometer(Thermo Fisher Scientific, San Jose, CA) using the Proxeon nanospray source. Solvent A was water, 0.1% formic acid and solvent B was acetonitrile, 0.1% formic acid. The samples were loaded with a constant flow of solvent A, at 5 μL/min onto the trapping column. Trapping time was 6 min. Peptides were eluted via the analytical column with a constant flow of 300 nL/min. During the elution step, the percentage of solvent B increased in a nonlinear fashion from 0% to 40% in 90 min. Total runtime was 115 min, including cleanup and column re-equilibration. The peptides were introduced into the mass spectrometer via a Pico-Tip Emitter 360 µm OD x 20 µm ID; 10 µm tip (New Objective) and a spray voltage of 2.2 kV was applied. The capillary temperature was set at 300 °C. The RF lens was set to 30%. Full scan MS spectra with mass range 350-1650 m/z were acquired in profile mode in the Orbitrap with resolution of 120,000 FWHM. The filling time was set at maximum of 20 ms with an AGC target of 5 x 105 ions. DIA scans were acquired with 34 mass window segments of differing widths across the MS1 mass range. The HCD collision energy was set to 30%. MS/MS scan resolution in the </w:t>
      </w:r>
      <w:r w:rsidRPr="005D4F4C">
        <w:rPr>
          <w:rFonts w:ascii="Arial" w:eastAsia="Times New Roman" w:hAnsi="Arial" w:cs="Arial"/>
          <w:color w:val="191919"/>
          <w:sz w:val="22"/>
          <w:szCs w:val="22"/>
          <w:shd w:val="clear" w:color="auto" w:fill="FFFFFF"/>
          <w:lang w:eastAsia="en-GB"/>
        </w:rPr>
        <w:lastRenderedPageBreak/>
        <w:t>Orbitrap was set to 30,000 FWHM with a fixed first mass of 200m/z after accumulation of 1x 106 ions or after filling time of 70ms (whichever occurred first). Data were acquired in profile mode. For data acquisition and processing Tune version 3.5 and Xcalibur 4.5 were employed.</w:t>
      </w:r>
    </w:p>
    <w:p w14:paraId="0D6BC958" w14:textId="77777777" w:rsidR="005D4F4C" w:rsidRPr="005D4F4C" w:rsidRDefault="005D4F4C" w:rsidP="005D4F4C">
      <w:pPr>
        <w:rPr>
          <w:rFonts w:ascii="Times New Roman" w:eastAsia="Times New Roman" w:hAnsi="Times New Roman" w:cs="Times New Roman"/>
          <w:lang w:eastAsia="en-GB"/>
        </w:rPr>
      </w:pPr>
    </w:p>
    <w:p w14:paraId="7B17FDDF" w14:textId="77777777" w:rsidR="005D4F4C" w:rsidRPr="005D4F4C" w:rsidRDefault="005D4F4C" w:rsidP="005D4F4C">
      <w:pPr>
        <w:rPr>
          <w:rFonts w:ascii="Times New Roman" w:eastAsia="Times New Roman" w:hAnsi="Times New Roman" w:cs="Times New Roman"/>
          <w:lang w:eastAsia="en-GB"/>
        </w:rPr>
      </w:pPr>
      <w:r w:rsidRPr="005D4F4C">
        <w:rPr>
          <w:rFonts w:ascii="Arial" w:eastAsia="Times New Roman" w:hAnsi="Arial" w:cs="Arial"/>
          <w:color w:val="191919"/>
          <w:sz w:val="22"/>
          <w:szCs w:val="22"/>
          <w:shd w:val="clear" w:color="auto" w:fill="FFFFFF"/>
          <w:lang w:eastAsia="en-GB"/>
        </w:rPr>
        <w:t>For high-throughput analysis on Evosep, the samples were loaded on Evotips according to the manufacturer’s instructions. In short, Evotips were first washed with Evosep buffer B (0.1 % formic acid in acetonitrile), conditioned with 100 % isopropanol and equilibrated with Evosep buffer A (0.1% acetonitrile). Afterwards samples were loaded on the Evotips and washed with Evosep buffer A. The loaded Evotips were topped up with buffer A and stored until the measurement. Peptides were separated using the Evosep One system (Evosep, Odense, Denmark) equipped either with a 8 cm x 150 μm i.d. packed with 1.5 μm Reprosil-Pur C18 beads column (Evosep Performance, EV-1109, PepSep, Marslev, Denmark) for the pre-programmed proprietary Evosep gradient of 21 minutes (60 samples per day, 60SPD), or with a 15 with a 8 cm x 150 μm i.d. packed with 1.9 μm Reprosil-Pur C18 beads column (Evosep Endurance, EV-1106, PepSep, Marslev, Denmark) for the re-programmed proprietary Evosep gradient of 44 minutes (30 samples per day, 30SPD). Solvent A was water and 0.1% formic acid and solvent B was acetonitrile and 0.1% formic acid. The LC was coupled to an Orbitrap Exploris 480 (Thermo Fisher Scientific, Bremen, Germany) using the Proxeon nanospray source. The peptides were introduced into the mass spectrometer via a PepSep Emitter 360-μm outer diameter × 20-μm inner diameter, heated at 300 °C, and a spray voltage of 2 kV was applied. The injection capillary temperature was set at 300°C. The radio frequency ion funnel was set to 30%. For DIA data acquisition of the 60SPD method, full scan mass spectrometry (MS) spectra with mass range 350–1650 m/z were acquired in profile mode in the Orbitrap with resolution of 120,000 FWHM. The default charge state was set to 2+. The filling time was set at maximum of 45 ms with a limitation of 3 × 10</w:t>
      </w:r>
      <w:r w:rsidRPr="005D4F4C">
        <w:rPr>
          <w:rFonts w:ascii="Arial" w:eastAsia="Times New Roman" w:hAnsi="Arial" w:cs="Arial"/>
          <w:color w:val="191919"/>
          <w:sz w:val="13"/>
          <w:szCs w:val="13"/>
          <w:shd w:val="clear" w:color="auto" w:fill="FFFFFF"/>
          <w:vertAlign w:val="superscript"/>
          <w:lang w:eastAsia="en-GB"/>
        </w:rPr>
        <w:t>6</w:t>
      </w:r>
      <w:r w:rsidRPr="005D4F4C">
        <w:rPr>
          <w:rFonts w:ascii="Arial" w:eastAsia="Times New Roman" w:hAnsi="Arial" w:cs="Arial"/>
          <w:color w:val="191919"/>
          <w:sz w:val="22"/>
          <w:szCs w:val="22"/>
          <w:shd w:val="clear" w:color="auto" w:fill="FFFFFF"/>
          <w:lang w:eastAsia="en-GB"/>
        </w:rPr>
        <w:t xml:space="preserve"> ions. DIA scans were acquired with 35 mass window segments of differing widths across the MS1 mass range. Higher collisional dissociation fragmentation of 30%) was applied and MS/MS spectra were acquired with a resolution of 15,000 FWHM with a fixed first mass of 200 m/z after accumulation of 1 × 10</w:t>
      </w:r>
      <w:r w:rsidRPr="005D4F4C">
        <w:rPr>
          <w:rFonts w:ascii="Arial" w:eastAsia="Times New Roman" w:hAnsi="Arial" w:cs="Arial"/>
          <w:color w:val="191919"/>
          <w:sz w:val="13"/>
          <w:szCs w:val="13"/>
          <w:shd w:val="clear" w:color="auto" w:fill="FFFFFF"/>
          <w:vertAlign w:val="superscript"/>
          <w:lang w:eastAsia="en-GB"/>
        </w:rPr>
        <w:t>6</w:t>
      </w:r>
      <w:r w:rsidRPr="005D4F4C">
        <w:rPr>
          <w:rFonts w:ascii="Arial" w:eastAsia="Times New Roman" w:hAnsi="Arial" w:cs="Arial"/>
          <w:color w:val="191919"/>
          <w:sz w:val="22"/>
          <w:szCs w:val="22"/>
          <w:shd w:val="clear" w:color="auto" w:fill="FFFFFF"/>
          <w:lang w:eastAsia="en-GB"/>
        </w:rPr>
        <w:t xml:space="preserve"> ions or after filling time of 37 ms (whichever occurred first). Data were acquired in profile mode. For DIA data acquisition of the 30SPD method, full scan mass spectrometry (MS) spectra with mass range 350–1650 m/z were acquired in profile mode in the Orbitrap with resolution of 120,000 FWHM. The default charge state was set to 2+. The filling time was set at maximum of 60 ms with a limitation of 3 × 10</w:t>
      </w:r>
      <w:r w:rsidRPr="005D4F4C">
        <w:rPr>
          <w:rFonts w:ascii="Arial" w:eastAsia="Times New Roman" w:hAnsi="Arial" w:cs="Arial"/>
          <w:color w:val="191919"/>
          <w:sz w:val="13"/>
          <w:szCs w:val="13"/>
          <w:shd w:val="clear" w:color="auto" w:fill="FFFFFF"/>
          <w:vertAlign w:val="superscript"/>
          <w:lang w:eastAsia="en-GB"/>
        </w:rPr>
        <w:t>6</w:t>
      </w:r>
      <w:r w:rsidRPr="005D4F4C">
        <w:rPr>
          <w:rFonts w:ascii="Arial" w:eastAsia="Times New Roman" w:hAnsi="Arial" w:cs="Arial"/>
          <w:color w:val="191919"/>
          <w:sz w:val="22"/>
          <w:szCs w:val="22"/>
          <w:shd w:val="clear" w:color="auto" w:fill="FFFFFF"/>
          <w:lang w:eastAsia="en-GB"/>
        </w:rPr>
        <w:t xml:space="preserve"> ions. DIA scans were acquired with 40 mass window segments of differing widths across the MS1 mass range. Higher collisional dissociation fragmentation of 30% was applied and MS/MS spectra were acquired with a resolution of 30,000 FWHM with a fixed first mass of 200 m/z after accumulation of 1 × 10</w:t>
      </w:r>
      <w:r w:rsidRPr="005D4F4C">
        <w:rPr>
          <w:rFonts w:ascii="Arial" w:eastAsia="Times New Roman" w:hAnsi="Arial" w:cs="Arial"/>
          <w:color w:val="191919"/>
          <w:sz w:val="13"/>
          <w:szCs w:val="13"/>
          <w:shd w:val="clear" w:color="auto" w:fill="FFFFFF"/>
          <w:vertAlign w:val="superscript"/>
          <w:lang w:eastAsia="en-GB"/>
        </w:rPr>
        <w:t>6</w:t>
      </w:r>
      <w:r w:rsidRPr="005D4F4C">
        <w:rPr>
          <w:rFonts w:ascii="Arial" w:eastAsia="Times New Roman" w:hAnsi="Arial" w:cs="Arial"/>
          <w:color w:val="191919"/>
          <w:sz w:val="22"/>
          <w:szCs w:val="22"/>
          <w:shd w:val="clear" w:color="auto" w:fill="FFFFFF"/>
          <w:lang w:eastAsia="en-GB"/>
        </w:rPr>
        <w:t xml:space="preserve"> ions or after filling time of 45 ms (whichever occurred first). Data were acquired in profile mode. </w:t>
      </w:r>
    </w:p>
    <w:p w14:paraId="62734A19" w14:textId="77777777" w:rsidR="005D4F4C" w:rsidRPr="005D4F4C" w:rsidRDefault="005D4F4C" w:rsidP="005D4F4C">
      <w:pPr>
        <w:rPr>
          <w:rFonts w:ascii="Times New Roman" w:eastAsia="Times New Roman" w:hAnsi="Times New Roman" w:cs="Times New Roman"/>
          <w:lang w:eastAsia="en-GB"/>
        </w:rPr>
      </w:pPr>
      <w:r w:rsidRPr="005D4F4C">
        <w:rPr>
          <w:rFonts w:ascii="Arial" w:eastAsia="Times New Roman" w:hAnsi="Arial" w:cs="Arial"/>
          <w:color w:val="191919"/>
          <w:sz w:val="22"/>
          <w:szCs w:val="22"/>
          <w:shd w:val="clear" w:color="auto" w:fill="FFFFFF"/>
          <w:lang w:eastAsia="en-GB"/>
        </w:rPr>
        <w:t>For data acquisition and processing of the raw data Xcalibur 4.5 (Thermo) and Tune version 4.0 were used.</w:t>
      </w:r>
    </w:p>
    <w:p w14:paraId="7BEE851C" w14:textId="77777777" w:rsidR="005D4F4C" w:rsidRPr="005D4F4C" w:rsidRDefault="005D4F4C" w:rsidP="005D4F4C">
      <w:pPr>
        <w:rPr>
          <w:rFonts w:ascii="Times New Roman" w:eastAsia="Times New Roman" w:hAnsi="Times New Roman" w:cs="Times New Roman"/>
          <w:lang w:eastAsia="en-GB"/>
        </w:rPr>
      </w:pPr>
    </w:p>
    <w:p w14:paraId="08756FD2" w14:textId="77777777" w:rsidR="005D4F4C" w:rsidRPr="005D4F4C" w:rsidRDefault="005D4F4C" w:rsidP="005D4F4C">
      <w:pPr>
        <w:rPr>
          <w:rFonts w:ascii="Times New Roman" w:eastAsia="Times New Roman" w:hAnsi="Times New Roman" w:cs="Times New Roman"/>
          <w:lang w:eastAsia="en-GB"/>
        </w:rPr>
      </w:pPr>
      <w:r w:rsidRPr="005D4F4C">
        <w:rPr>
          <w:rFonts w:ascii="Arial" w:eastAsia="Times New Roman" w:hAnsi="Arial" w:cs="Arial"/>
          <w:color w:val="191919"/>
          <w:sz w:val="22"/>
          <w:szCs w:val="22"/>
          <w:shd w:val="clear" w:color="auto" w:fill="FFFFFF"/>
          <w:lang w:eastAsia="en-GB"/>
        </w:rPr>
        <w:t>DIA raw data were analyzed using the directDIA pipeline in Spectronaut (PSMA4-miniTurbo v.18, everything else v.17, Biognosys, Switzerland). The data were searched against a species specific (</w:t>
      </w:r>
      <w:r w:rsidRPr="005D4F4C">
        <w:rPr>
          <w:rFonts w:ascii="Arial" w:eastAsia="Times New Roman" w:hAnsi="Arial" w:cs="Arial"/>
          <w:i/>
          <w:iCs/>
          <w:color w:val="191919"/>
          <w:sz w:val="22"/>
          <w:szCs w:val="22"/>
          <w:shd w:val="clear" w:color="auto" w:fill="FFFFFF"/>
          <w:lang w:eastAsia="en-GB"/>
        </w:rPr>
        <w:t>Homo sapiens</w:t>
      </w:r>
      <w:r w:rsidRPr="005D4F4C">
        <w:rPr>
          <w:rFonts w:ascii="Arial" w:eastAsia="Times New Roman" w:hAnsi="Arial" w:cs="Arial"/>
          <w:color w:val="191919"/>
          <w:sz w:val="22"/>
          <w:szCs w:val="22"/>
          <w:shd w:val="clear" w:color="auto" w:fill="FFFFFF"/>
          <w:lang w:eastAsia="en-GB"/>
        </w:rPr>
        <w:t>, 20,816 entries) and a contaminants (247 entries) Swissprot database. The data were searched with the following modifications: Oxidation (M), Acetyl (Protein N-term) and Biotin_K. A maximum of 2 missed cleavages for trypsin and 5 variable modifications were allowed. The identifications were filtered to satisfy FDR of 1 % on peptide and protein level. Relative quantification was performed in Spectronaut using LFQ QUANT 2.0 method with Global Normalization, precursor filtering percentile using fraction 0.2 and global imputation. The data (candidate table) and data reports (protein quantities) were then exported and further data analyses and visualization were performed with Rstudio using in-house pipelines and scripts. </w:t>
      </w:r>
    </w:p>
    <w:p w14:paraId="5E68EF60" w14:textId="77777777" w:rsidR="00CF5780" w:rsidRDefault="00CF5780"/>
    <w:sectPr w:rsidR="00CF578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4F4C"/>
    <w:rsid w:val="005D4F4C"/>
    <w:rsid w:val="00BC66DF"/>
    <w:rsid w:val="00CF5780"/>
  </w:rsids>
  <m:mathPr>
    <m:mathFont m:val="Cambria Math"/>
    <m:brkBin m:val="before"/>
    <m:brkBinSub m:val="--"/>
    <m:smallFrac m:val="0"/>
    <m:dispDef/>
    <m:lMargin m:val="0"/>
    <m:rMargin m:val="0"/>
    <m:defJc m:val="centerGroup"/>
    <m:wrapIndent m:val="1440"/>
    <m:intLim m:val="subSup"/>
    <m:naryLim m:val="undOvr"/>
  </m:mathPr>
  <w:themeFontLang w:val="en-DE"/>
  <w:clrSchemeMapping w:bg1="light1" w:t1="dark1" w:bg2="light2" w:t2="dark2" w:accent1="accent1" w:accent2="accent2" w:accent3="accent3" w:accent4="accent4" w:accent5="accent5" w:accent6="accent6" w:hyperlink="hyperlink" w:followedHyperlink="followedHyperlink"/>
  <w:decimalSymbol w:val="."/>
  <w:listSeparator w:val=","/>
  <w14:docId w14:val="6A30211D"/>
  <w15:chartTrackingRefBased/>
  <w15:docId w15:val="{226485FA-4C62-2C41-8EEC-FFD54981A2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DE"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D4F4C"/>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semiHidden/>
    <w:unhideWhenUsed/>
    <w:rsid w:val="005D4F4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5850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paperpile.com/c/19Ld2V/hOe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2</Pages>
  <Words>1359</Words>
  <Characters>7748</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Therese Dau</dc:creator>
  <cp:keywords/>
  <dc:description/>
  <cp:lastModifiedBy>Therese Dau</cp:lastModifiedBy>
  <cp:revision>1</cp:revision>
  <dcterms:created xsi:type="dcterms:W3CDTF">2023-08-11T06:10:00Z</dcterms:created>
  <dcterms:modified xsi:type="dcterms:W3CDTF">2023-08-11T06:40:00Z</dcterms:modified>
</cp:coreProperties>
</file>